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3178F" w:rsidRDefault="0073178F">
      <w:pPr>
        <w:jc w:val="center"/>
        <w:rPr>
          <w:b/>
          <w:i/>
          <w:sz w:val="28"/>
        </w:rPr>
      </w:pPr>
      <w:bookmarkStart w:id="0" w:name="_GoBack"/>
      <w:bookmarkEnd w:id="0"/>
      <w:r>
        <w:rPr>
          <w:b/>
          <w:i/>
          <w:sz w:val="28"/>
        </w:rPr>
        <w:t>Annual Drinking Water Quality Repo</w:t>
      </w:r>
      <w:r w:rsidR="0032646C">
        <w:rPr>
          <w:b/>
          <w:i/>
          <w:sz w:val="28"/>
        </w:rPr>
        <w:t>rt for 201</w:t>
      </w:r>
      <w:r w:rsidR="005F1AA3">
        <w:rPr>
          <w:b/>
          <w:i/>
          <w:sz w:val="28"/>
        </w:rPr>
        <w:t>4</w:t>
      </w:r>
    </w:p>
    <w:p w:rsidR="0073178F" w:rsidRDefault="00FC1F7E">
      <w:pPr>
        <w:jc w:val="center"/>
        <w:rPr>
          <w:b/>
          <w:i/>
          <w:sz w:val="28"/>
        </w:rPr>
      </w:pPr>
      <w:r>
        <w:rPr>
          <w:b/>
          <w:i/>
          <w:sz w:val="28"/>
        </w:rPr>
        <w:t>Town of Pendleton Water District</w:t>
      </w:r>
    </w:p>
    <w:p w:rsidR="0073178F" w:rsidRDefault="00FC1F7E">
      <w:pPr>
        <w:jc w:val="center"/>
        <w:rPr>
          <w:b/>
          <w:i/>
          <w:sz w:val="28"/>
        </w:rPr>
      </w:pPr>
      <w:r>
        <w:rPr>
          <w:b/>
          <w:i/>
          <w:sz w:val="28"/>
        </w:rPr>
        <w:t>6640 Campbell Boulevard</w:t>
      </w:r>
    </w:p>
    <w:p w:rsidR="0073178F" w:rsidRDefault="0073178F">
      <w:pPr>
        <w:jc w:val="center"/>
        <w:rPr>
          <w:b/>
          <w:i/>
          <w:sz w:val="28"/>
        </w:rPr>
      </w:pPr>
      <w:r>
        <w:rPr>
          <w:b/>
          <w:i/>
          <w:sz w:val="28"/>
        </w:rPr>
        <w:t>Public Water Supply ID#</w:t>
      </w:r>
      <w:r w:rsidR="00FC1F7E">
        <w:rPr>
          <w:b/>
          <w:i/>
          <w:sz w:val="28"/>
        </w:rPr>
        <w:t xml:space="preserve"> NY3100574</w:t>
      </w:r>
    </w:p>
    <w:p w:rsidR="00FC1F7E" w:rsidRDefault="00FC1F7E">
      <w:pPr>
        <w:jc w:val="center"/>
        <w:rPr>
          <w:b/>
          <w:i/>
          <w:sz w:val="18"/>
          <w:szCs w:val="18"/>
        </w:rPr>
      </w:pPr>
    </w:p>
    <w:p w:rsidR="00FC1F7E" w:rsidRPr="00FC1F7E" w:rsidRDefault="00FC1F7E">
      <w:pPr>
        <w:jc w:val="center"/>
        <w:rPr>
          <w:b/>
          <w:i/>
          <w:sz w:val="24"/>
          <w:szCs w:val="24"/>
        </w:rPr>
      </w:pPr>
      <w:r>
        <w:rPr>
          <w:b/>
          <w:i/>
          <w:sz w:val="24"/>
          <w:szCs w:val="24"/>
        </w:rPr>
        <w:t>March 1, 2015</w:t>
      </w:r>
    </w:p>
    <w:p w:rsidR="0073178F" w:rsidRPr="0032646C" w:rsidRDefault="0073178F">
      <w:pPr>
        <w:jc w:val="both"/>
        <w:rPr>
          <w:b/>
          <w:smallCaps/>
          <w:sz w:val="22"/>
        </w:rPr>
      </w:pPr>
    </w:p>
    <w:p w:rsidR="0073178F" w:rsidRDefault="0073178F">
      <w:pPr>
        <w:jc w:val="both"/>
        <w:rPr>
          <w:b/>
          <w:smallCaps/>
          <w:sz w:val="28"/>
        </w:rPr>
      </w:pPr>
      <w:r>
        <w:rPr>
          <w:b/>
          <w:smallCaps/>
          <w:sz w:val="28"/>
        </w:rPr>
        <w:t>INTRODUCTION</w:t>
      </w:r>
    </w:p>
    <w:p w:rsidR="0032646C" w:rsidRPr="0032646C" w:rsidRDefault="0032646C">
      <w:pPr>
        <w:jc w:val="both"/>
        <w:rPr>
          <w:b/>
          <w:smallCaps/>
        </w:rPr>
      </w:pPr>
    </w:p>
    <w:p w:rsidR="005F1AA3" w:rsidRDefault="002C2A27" w:rsidP="005F1AA3">
      <w:pPr>
        <w:jc w:val="both"/>
        <w:rPr>
          <w:sz w:val="22"/>
        </w:rPr>
      </w:pPr>
      <w:r>
        <w:rPr>
          <w:sz w:val="22"/>
        </w:rPr>
        <w:t>To comply with State regulations</w:t>
      </w:r>
      <w:r w:rsidRPr="00BB2939">
        <w:rPr>
          <w:sz w:val="22"/>
        </w:rPr>
        <w:t>,</w:t>
      </w:r>
      <w:r w:rsidR="00FC1F7E">
        <w:rPr>
          <w:sz w:val="22"/>
        </w:rPr>
        <w:t xml:space="preserve"> the Town of Pendleton</w:t>
      </w:r>
      <w:r>
        <w:rPr>
          <w:sz w:val="22"/>
        </w:rPr>
        <w:t xml:space="preserve">, </w:t>
      </w:r>
      <w:r w:rsidRPr="00BB2939">
        <w:rPr>
          <w:sz w:val="22"/>
        </w:rPr>
        <w:t xml:space="preserve">will be annually issuing a report describing the quality of your drinking water.  </w:t>
      </w:r>
      <w:r w:rsidR="005F1AA3" w:rsidRPr="00BB2939">
        <w:rPr>
          <w:sz w:val="22"/>
        </w:rPr>
        <w:t>The purpose of this</w:t>
      </w:r>
      <w:r w:rsidR="005F1AA3">
        <w:rPr>
          <w:sz w:val="22"/>
        </w:rPr>
        <w:t xml:space="preserve"> report is to raise your understanding of drinking water and awareness of the need to protect our drinking water sources.  </w:t>
      </w:r>
      <w:r w:rsidR="005F1AA3" w:rsidRPr="007E44B0">
        <w:rPr>
          <w:sz w:val="22"/>
        </w:rPr>
        <w:t xml:space="preserve">Last year, your tap water met all State drinking water health standards.  We are proud to report that our system did not violate a maximum contaminant level or any other water quality standard.  </w:t>
      </w:r>
      <w:r w:rsidR="005F1AA3" w:rsidRPr="00361992">
        <w:rPr>
          <w:sz w:val="22"/>
          <w:szCs w:val="22"/>
        </w:rPr>
        <w:t>In 2014, we conducted tests for over 100 contaminants.  Less than a quarter of the tested contaminants were detected.  The NCWD is required to test for lead</w:t>
      </w:r>
      <w:r w:rsidR="005F1AA3">
        <w:rPr>
          <w:sz w:val="22"/>
          <w:szCs w:val="22"/>
        </w:rPr>
        <w:t xml:space="preserve"> and copper</w:t>
      </w:r>
      <w:r w:rsidR="005F1AA3" w:rsidRPr="00361992">
        <w:rPr>
          <w:sz w:val="22"/>
          <w:szCs w:val="22"/>
        </w:rPr>
        <w:t xml:space="preserve"> every three (3) years.  In 2014, 50 sites throughout the NCWD were tested for lead</w:t>
      </w:r>
      <w:r w:rsidR="005F1AA3">
        <w:rPr>
          <w:sz w:val="22"/>
          <w:szCs w:val="22"/>
        </w:rPr>
        <w:t xml:space="preserve"> and copper</w:t>
      </w:r>
      <w:r w:rsidR="005F1AA3" w:rsidRPr="00361992">
        <w:rPr>
          <w:sz w:val="22"/>
          <w:szCs w:val="22"/>
        </w:rPr>
        <w:t>.</w:t>
      </w:r>
      <w:r w:rsidR="005F1AA3">
        <w:rPr>
          <w:sz w:val="22"/>
          <w:szCs w:val="22"/>
        </w:rPr>
        <w:t xml:space="preserve">  The analysis showed concentrations below action level for all 50 copper samples.  </w:t>
      </w:r>
      <w:r w:rsidR="005F1AA3" w:rsidRPr="00361992">
        <w:rPr>
          <w:sz w:val="22"/>
          <w:szCs w:val="22"/>
        </w:rPr>
        <w:t>The 90</w:t>
      </w:r>
      <w:r w:rsidR="005F1AA3" w:rsidRPr="00361992">
        <w:rPr>
          <w:sz w:val="22"/>
          <w:szCs w:val="22"/>
          <w:vertAlign w:val="superscript"/>
        </w:rPr>
        <w:t>th</w:t>
      </w:r>
      <w:r w:rsidR="005F1AA3" w:rsidRPr="00361992">
        <w:rPr>
          <w:sz w:val="22"/>
          <w:szCs w:val="22"/>
        </w:rPr>
        <w:t xml:space="preserve"> percentile level of lead detected, </w:t>
      </w:r>
      <w:r w:rsidR="005F1AA3">
        <w:rPr>
          <w:sz w:val="22"/>
          <w:szCs w:val="22"/>
        </w:rPr>
        <w:t>4.5</w:t>
      </w:r>
      <w:r w:rsidR="005F1AA3" w:rsidRPr="00361992">
        <w:rPr>
          <w:sz w:val="22"/>
          <w:szCs w:val="22"/>
        </w:rPr>
        <w:t xml:space="preserve"> </w:t>
      </w:r>
      <w:r w:rsidR="005F1AA3" w:rsidRPr="00361992">
        <w:rPr>
          <w:sz w:val="22"/>
          <w:szCs w:val="22"/>
        </w:rPr>
        <w:sym w:font="Symbol" w:char="F06D"/>
      </w:r>
      <w:r w:rsidR="005F1AA3" w:rsidRPr="00361992">
        <w:rPr>
          <w:sz w:val="22"/>
          <w:szCs w:val="22"/>
        </w:rPr>
        <w:t>g/L, was below the regulatory limit of 15.0</w:t>
      </w:r>
      <w:r w:rsidR="005F1AA3" w:rsidRPr="00361992">
        <w:rPr>
          <w:sz w:val="22"/>
          <w:szCs w:val="22"/>
        </w:rPr>
        <w:sym w:font="Symbol" w:char="F06D"/>
      </w:r>
      <w:r w:rsidR="005F1AA3" w:rsidRPr="00361992">
        <w:rPr>
          <w:sz w:val="22"/>
          <w:szCs w:val="22"/>
        </w:rPr>
        <w:t>g/L; however, lead was found at a level higher than the action level (AL) recommended by the State at three (3) of 50 sites tested.</w:t>
      </w:r>
      <w:r w:rsidR="005F1AA3" w:rsidRPr="00260224">
        <w:rPr>
          <w:sz w:val="22"/>
          <w:szCs w:val="22"/>
        </w:rPr>
        <w:t xml:space="preserve"> </w:t>
      </w:r>
      <w:r w:rsidR="005F1AA3">
        <w:rPr>
          <w:sz w:val="22"/>
          <w:szCs w:val="22"/>
        </w:rPr>
        <w:t xml:space="preserve"> </w:t>
      </w:r>
      <w:r w:rsidR="005F1AA3">
        <w:rPr>
          <w:sz w:val="22"/>
        </w:rPr>
        <w:t>This report provides an overview of last year’s water quality.  Included are details about where your water comes from, what it contains, and how it compares to State standards.</w:t>
      </w:r>
    </w:p>
    <w:p w:rsidR="00F72D49" w:rsidRDefault="00F72D49" w:rsidP="00F72D49">
      <w:pPr>
        <w:jc w:val="both"/>
        <w:rPr>
          <w:sz w:val="22"/>
        </w:rPr>
      </w:pPr>
    </w:p>
    <w:p w:rsidR="0073178F" w:rsidRDefault="0073178F">
      <w:pPr>
        <w:jc w:val="both"/>
        <w:rPr>
          <w:sz w:val="22"/>
        </w:rPr>
      </w:pPr>
    </w:p>
    <w:p w:rsidR="0073178F" w:rsidRDefault="0073178F">
      <w:pPr>
        <w:jc w:val="both"/>
        <w:rPr>
          <w:sz w:val="22"/>
        </w:rPr>
      </w:pPr>
      <w:r>
        <w:rPr>
          <w:sz w:val="22"/>
        </w:rPr>
        <w:t xml:space="preserve">If you have any questions about this report or concerning your drinking water, please contact </w:t>
      </w:r>
      <w:r w:rsidR="00FC1F7E">
        <w:rPr>
          <w:sz w:val="22"/>
        </w:rPr>
        <w:t>James Argo, Water Superintendent at (716) 625-8033</w:t>
      </w:r>
      <w:r>
        <w:rPr>
          <w:sz w:val="22"/>
        </w:rPr>
        <w:t xml:space="preserve">. </w:t>
      </w:r>
      <w:r w:rsidR="0032646C">
        <w:rPr>
          <w:sz w:val="22"/>
        </w:rPr>
        <w:t xml:space="preserve"> </w:t>
      </w:r>
      <w:r>
        <w:rPr>
          <w:sz w:val="22"/>
        </w:rPr>
        <w:t xml:space="preserve">We want you to be informed about your drinking water.  If you want to learn more, please attend any of our regularly scheduled </w:t>
      </w:r>
      <w:r w:rsidR="00FC1F7E">
        <w:rPr>
          <w:sz w:val="22"/>
        </w:rPr>
        <w:t>town</w:t>
      </w:r>
      <w:r>
        <w:rPr>
          <w:sz w:val="22"/>
        </w:rPr>
        <w:t xml:space="preserve"> board meetings</w:t>
      </w:r>
      <w:r w:rsidR="00FC1F7E">
        <w:rPr>
          <w:sz w:val="22"/>
        </w:rPr>
        <w:t>.</w:t>
      </w:r>
      <w:r w:rsidR="0032646C">
        <w:rPr>
          <w:sz w:val="22"/>
        </w:rPr>
        <w:t xml:space="preserve">  </w:t>
      </w:r>
      <w:r>
        <w:rPr>
          <w:sz w:val="22"/>
        </w:rPr>
        <w:t xml:space="preserve">The meetings are held </w:t>
      </w:r>
      <w:r w:rsidR="00FC1F7E">
        <w:rPr>
          <w:sz w:val="22"/>
        </w:rPr>
        <w:t>on the second Monday of the month at 7:00 pm at the Pendleton Town Hall, located at 6570 Campbell Boulevard.</w:t>
      </w:r>
    </w:p>
    <w:p w:rsidR="00FC1F7E" w:rsidRDefault="00FC1F7E">
      <w:pPr>
        <w:jc w:val="both"/>
        <w:rPr>
          <w:sz w:val="22"/>
        </w:rPr>
      </w:pPr>
    </w:p>
    <w:p w:rsidR="0073178F" w:rsidRDefault="0073178F">
      <w:pPr>
        <w:jc w:val="both"/>
        <w:rPr>
          <w:b/>
          <w:sz w:val="28"/>
        </w:rPr>
      </w:pPr>
      <w:r>
        <w:rPr>
          <w:b/>
          <w:sz w:val="28"/>
        </w:rPr>
        <w:t>WHERE DOES OUR WATER COME FROM?</w:t>
      </w:r>
    </w:p>
    <w:p w:rsidR="00BE3C1B" w:rsidRPr="00BE3C1B" w:rsidRDefault="00BE3C1B">
      <w:pPr>
        <w:jc w:val="both"/>
      </w:pPr>
    </w:p>
    <w:p w:rsidR="005F1AA3" w:rsidRDefault="005F1AA3" w:rsidP="005F1AA3">
      <w:pPr>
        <w:jc w:val="both"/>
        <w:rPr>
          <w:sz w:val="22"/>
        </w:rPr>
      </w:pPr>
      <w:r>
        <w:rPr>
          <w:sz w:val="22"/>
        </w:rPr>
        <w:t>In general, the sources of drinking water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activities.  Contaminants that may be present in source water include: microbial contaminants; inorganic contaminants; pesticides and herbicides; organic chemical contaminants; and radioactive contaminants.  In order to ensure that tap water is safe to drink, the State and the EPA prescribe regulations which limit the amount of certain contaminants in water provided by public water systems.  The State Health Department’s and the FDA’s regulations establish limits for contaminants in bottled water which must provide the same protection for public health.</w:t>
      </w:r>
    </w:p>
    <w:p w:rsidR="005F1AA3" w:rsidRDefault="005F1AA3" w:rsidP="005F1AA3">
      <w:pPr>
        <w:jc w:val="both"/>
        <w:rPr>
          <w:sz w:val="22"/>
        </w:rPr>
      </w:pPr>
    </w:p>
    <w:p w:rsidR="005F1AA3" w:rsidRDefault="005F1AA3" w:rsidP="005F1AA3">
      <w:pPr>
        <w:jc w:val="both"/>
        <w:rPr>
          <w:sz w:val="22"/>
        </w:rPr>
      </w:pPr>
      <w:r>
        <w:rPr>
          <w:sz w:val="22"/>
        </w:rPr>
        <w:t xml:space="preserve">Our water source is located in the west branch of the Niagara River.  The water quality is considered excellent.  During 2014, our </w:t>
      </w:r>
      <w:r w:rsidRPr="003A50F6">
        <w:rPr>
          <w:sz w:val="22"/>
        </w:rPr>
        <w:t>system did not experience any restriction of our</w:t>
      </w:r>
      <w:r>
        <w:rPr>
          <w:sz w:val="22"/>
        </w:rPr>
        <w:t xml:space="preserve"> water source.  The treatment plant uses pre-chlorination, coagulation, rapid mix, flocculation, sedimentation, and filtration processes to ensure the quality of the water.  The NCWD also uses chlorination for disinfection.  The water treatment plant has been approved as a direct filtration plant; however, water is treated using conventional filtration including all of the processes described above.  In addition, fluoride and a corrosion inhibitor are added to the potable water prior to distribution.</w:t>
      </w:r>
    </w:p>
    <w:p w:rsidR="005F1AA3" w:rsidRDefault="005F1AA3" w:rsidP="005F1AA3">
      <w:pPr>
        <w:jc w:val="both"/>
        <w:rPr>
          <w:sz w:val="22"/>
        </w:rPr>
      </w:pPr>
    </w:p>
    <w:p w:rsidR="00E270CE" w:rsidRDefault="00E270CE" w:rsidP="005F1AA3">
      <w:pPr>
        <w:jc w:val="both"/>
        <w:rPr>
          <w:sz w:val="22"/>
        </w:rPr>
      </w:pPr>
    </w:p>
    <w:p w:rsidR="005F1AA3" w:rsidRDefault="005F1AA3" w:rsidP="005F1AA3">
      <w:pPr>
        <w:jc w:val="both"/>
        <w:rPr>
          <w:sz w:val="22"/>
        </w:rPr>
      </w:pPr>
      <w:r>
        <w:rPr>
          <w:sz w:val="22"/>
        </w:rPr>
        <w:lastRenderedPageBreak/>
        <w:t xml:space="preserve">The New York State Department of Health recently completed a draft Source Water Assessment of the supplies </w:t>
      </w:r>
      <w:r w:rsidRPr="007719EB">
        <w:rPr>
          <w:b/>
          <w:sz w:val="22"/>
        </w:rPr>
        <w:t>raw water source</w:t>
      </w:r>
      <w:r>
        <w:rPr>
          <w:sz w:val="22"/>
        </w:rPr>
        <w:t xml:space="preserve"> under the States Source Water Assessment Program (SWAP).  The purpose of this program is to compile, organize, and evaluate information regarding possible and actual threats to the quality of public water supply (PWS) sources.  It is important to note that source water assessment reports estimate the </w:t>
      </w:r>
      <w:r w:rsidRPr="007719EB">
        <w:rPr>
          <w:b/>
          <w:sz w:val="22"/>
        </w:rPr>
        <w:t>potential</w:t>
      </w:r>
      <w:r>
        <w:rPr>
          <w:sz w:val="22"/>
        </w:rPr>
        <w:t xml:space="preserve"> for untreated drinking water sources to be impacted by contamination.  These reports do not address the safety or quality of treated finished potable tap water.  The Great Lakes’ watershed is exceptionally large and too big for a detailed evaluation in the SWAP.  General drinking water concerns for public water supplies which use these sources include:  storm generated turbidity, wastewater, toxic sediments, shipping related spills, and problems associated with exotic species (e.g. zebra mussels – intake clogging and taste and odor problems).  The SWAP is based on the analysis of the contaminant inventory compiled for the drainage area deemed most likely to impact drinking water quality at this public water supply raw water intake.  This assessment found an elevated susceptibility to contamination for this source of drinking water.  The amount of agricultural lands in the assessment area results in elevated potential for protozoa and pesticides contamination.  There is also a high density of sanitary wastewater discharges, which results in elevated susceptibility for numerous contaminant categories.  Non-sanitary wastewater could also impact source water quality.  There is also noteworthy contamination susceptibility associated with other discrete contaminant sources, and these facility types include:  Mines and Resources Conservation and Recovery Act (RCRA) facilities.  If you have any questions about the States Source Water Assessment Program, please contact Ronald Gwozdek, Principal Public Health Engineer, Niagara County Department of Health at (716) 439-7452.</w:t>
      </w:r>
    </w:p>
    <w:p w:rsidR="00BE3C1B" w:rsidRDefault="00BE3C1B" w:rsidP="00BE3C1B">
      <w:pPr>
        <w:jc w:val="both"/>
        <w:rPr>
          <w:sz w:val="22"/>
        </w:rPr>
      </w:pPr>
    </w:p>
    <w:p w:rsidR="00BE3C1B" w:rsidRPr="00BE3C1B" w:rsidRDefault="00BE3C1B" w:rsidP="00BE3C1B">
      <w:pPr>
        <w:suppressAutoHyphens w:val="0"/>
        <w:autoSpaceDE w:val="0"/>
        <w:autoSpaceDN w:val="0"/>
        <w:adjustRightInd w:val="0"/>
        <w:rPr>
          <w:b/>
          <w:sz w:val="28"/>
        </w:rPr>
      </w:pPr>
      <w:r w:rsidRPr="00BE3C1B">
        <w:rPr>
          <w:b/>
          <w:sz w:val="28"/>
        </w:rPr>
        <w:t>FACTS AND FIGURES</w:t>
      </w:r>
    </w:p>
    <w:p w:rsidR="00BE3C1B" w:rsidRPr="00BE3C1B" w:rsidRDefault="00BE3C1B" w:rsidP="00BE3C1B">
      <w:pPr>
        <w:suppressAutoHyphens w:val="0"/>
        <w:autoSpaceDE w:val="0"/>
        <w:autoSpaceDN w:val="0"/>
        <w:adjustRightInd w:val="0"/>
        <w:rPr>
          <w:color w:val="000000"/>
          <w:szCs w:val="22"/>
        </w:rPr>
      </w:pPr>
    </w:p>
    <w:p w:rsidR="00BE3C1B" w:rsidRDefault="00BE3C1B" w:rsidP="00BE3C1B">
      <w:pPr>
        <w:suppressAutoHyphens w:val="0"/>
        <w:autoSpaceDE w:val="0"/>
        <w:autoSpaceDN w:val="0"/>
        <w:adjustRightInd w:val="0"/>
        <w:jc w:val="both"/>
        <w:rPr>
          <w:sz w:val="22"/>
        </w:rPr>
      </w:pPr>
      <w:r>
        <w:rPr>
          <w:color w:val="000000"/>
          <w:sz w:val="22"/>
          <w:szCs w:val="22"/>
        </w:rPr>
        <w:t xml:space="preserve">The </w:t>
      </w:r>
      <w:r w:rsidR="00FC1F7E">
        <w:rPr>
          <w:color w:val="000000"/>
          <w:sz w:val="22"/>
          <w:szCs w:val="22"/>
        </w:rPr>
        <w:t xml:space="preserve">Town of Pendleton </w:t>
      </w:r>
      <w:r>
        <w:rPr>
          <w:color w:val="000000"/>
          <w:sz w:val="22"/>
          <w:szCs w:val="22"/>
        </w:rPr>
        <w:t>water system serves</w:t>
      </w:r>
      <w:r w:rsidR="00FC1F7E">
        <w:rPr>
          <w:color w:val="000000"/>
          <w:sz w:val="22"/>
          <w:szCs w:val="22"/>
        </w:rPr>
        <w:t xml:space="preserve"> approximately 6,400</w:t>
      </w:r>
      <w:r>
        <w:rPr>
          <w:color w:val="000000"/>
          <w:sz w:val="22"/>
          <w:szCs w:val="22"/>
        </w:rPr>
        <w:t xml:space="preserve"> people through </w:t>
      </w:r>
      <w:r w:rsidR="00FC1F7E">
        <w:rPr>
          <w:color w:val="000000"/>
          <w:sz w:val="22"/>
          <w:szCs w:val="22"/>
        </w:rPr>
        <w:t>2,519</w:t>
      </w:r>
      <w:r>
        <w:rPr>
          <w:color w:val="000000"/>
          <w:sz w:val="22"/>
          <w:szCs w:val="22"/>
        </w:rPr>
        <w:t xml:space="preserve"> service connections. </w:t>
      </w:r>
      <w:r w:rsidR="00EF7DE2">
        <w:rPr>
          <w:color w:val="000000"/>
          <w:sz w:val="22"/>
          <w:szCs w:val="22"/>
        </w:rPr>
        <w:t xml:space="preserve"> </w:t>
      </w:r>
      <w:r>
        <w:rPr>
          <w:color w:val="000000"/>
          <w:sz w:val="22"/>
          <w:szCs w:val="22"/>
        </w:rPr>
        <w:t>Our</w:t>
      </w:r>
      <w:r w:rsidR="00EF7DE2">
        <w:rPr>
          <w:color w:val="000000"/>
          <w:sz w:val="22"/>
          <w:szCs w:val="22"/>
        </w:rPr>
        <w:t xml:space="preserve"> </w:t>
      </w:r>
      <w:r>
        <w:rPr>
          <w:color w:val="000000"/>
          <w:sz w:val="22"/>
          <w:szCs w:val="22"/>
        </w:rPr>
        <w:t>single highest day recorded in 201</w:t>
      </w:r>
      <w:r w:rsidR="005F1AA3">
        <w:rPr>
          <w:color w:val="000000"/>
          <w:sz w:val="22"/>
          <w:szCs w:val="22"/>
        </w:rPr>
        <w:t>4</w:t>
      </w:r>
      <w:r>
        <w:rPr>
          <w:color w:val="000000"/>
          <w:sz w:val="22"/>
          <w:szCs w:val="22"/>
        </w:rPr>
        <w:t xml:space="preserve"> was </w:t>
      </w:r>
      <w:r w:rsidR="003F3202">
        <w:rPr>
          <w:color w:val="000000"/>
          <w:sz w:val="22"/>
          <w:szCs w:val="22"/>
        </w:rPr>
        <w:t>576,387</w:t>
      </w:r>
      <w:r>
        <w:rPr>
          <w:color w:val="000000"/>
          <w:sz w:val="22"/>
          <w:szCs w:val="22"/>
        </w:rPr>
        <w:t xml:space="preserve"> gallons</w:t>
      </w:r>
      <w:r w:rsidR="003F3202">
        <w:rPr>
          <w:color w:val="000000"/>
          <w:sz w:val="22"/>
          <w:szCs w:val="22"/>
        </w:rPr>
        <w:t>.</w:t>
      </w:r>
      <w:r>
        <w:rPr>
          <w:color w:val="000000"/>
          <w:sz w:val="22"/>
          <w:szCs w:val="22"/>
        </w:rPr>
        <w:t xml:space="preserve"> </w:t>
      </w:r>
      <w:r w:rsidR="00EF7DE2">
        <w:rPr>
          <w:color w:val="000000"/>
          <w:sz w:val="22"/>
          <w:szCs w:val="22"/>
        </w:rPr>
        <w:t xml:space="preserve"> </w:t>
      </w:r>
      <w:r>
        <w:rPr>
          <w:color w:val="000000"/>
          <w:sz w:val="22"/>
          <w:szCs w:val="22"/>
        </w:rPr>
        <w:t>The amount of water delivered to customers in 201</w:t>
      </w:r>
      <w:r w:rsidR="005F1AA3">
        <w:rPr>
          <w:color w:val="000000"/>
          <w:sz w:val="22"/>
          <w:szCs w:val="22"/>
        </w:rPr>
        <w:t>4</w:t>
      </w:r>
      <w:r>
        <w:rPr>
          <w:color w:val="000000"/>
          <w:sz w:val="22"/>
          <w:szCs w:val="22"/>
        </w:rPr>
        <w:t xml:space="preserve"> was</w:t>
      </w:r>
      <w:r w:rsidR="003F3202">
        <w:rPr>
          <w:color w:val="000000"/>
          <w:sz w:val="22"/>
          <w:szCs w:val="22"/>
        </w:rPr>
        <w:t xml:space="preserve"> 167,973,000</w:t>
      </w:r>
      <w:r>
        <w:rPr>
          <w:color w:val="000000"/>
          <w:sz w:val="22"/>
          <w:szCs w:val="22"/>
        </w:rPr>
        <w:t xml:space="preserve"> gallons. </w:t>
      </w:r>
      <w:r w:rsidR="00EF7DE2">
        <w:rPr>
          <w:color w:val="000000"/>
          <w:sz w:val="22"/>
          <w:szCs w:val="22"/>
        </w:rPr>
        <w:t xml:space="preserve"> </w:t>
      </w:r>
      <w:r>
        <w:rPr>
          <w:color w:val="000000"/>
          <w:sz w:val="22"/>
          <w:szCs w:val="22"/>
        </w:rPr>
        <w:t xml:space="preserve">The total water purchased </w:t>
      </w:r>
      <w:r w:rsidR="003F3202">
        <w:rPr>
          <w:color w:val="000000"/>
          <w:sz w:val="22"/>
          <w:szCs w:val="22"/>
        </w:rPr>
        <w:t xml:space="preserve">from the Niagara County Water District </w:t>
      </w:r>
      <w:r>
        <w:rPr>
          <w:color w:val="000000"/>
          <w:sz w:val="22"/>
          <w:szCs w:val="22"/>
        </w:rPr>
        <w:t>in 201</w:t>
      </w:r>
      <w:r w:rsidR="005F1AA3">
        <w:rPr>
          <w:color w:val="000000"/>
          <w:sz w:val="22"/>
          <w:szCs w:val="22"/>
        </w:rPr>
        <w:t>4</w:t>
      </w:r>
      <w:r>
        <w:rPr>
          <w:color w:val="000000"/>
          <w:sz w:val="22"/>
          <w:szCs w:val="22"/>
        </w:rPr>
        <w:t xml:space="preserve"> was </w:t>
      </w:r>
      <w:r w:rsidR="003F3202">
        <w:rPr>
          <w:color w:val="000000"/>
          <w:sz w:val="22"/>
          <w:szCs w:val="22"/>
        </w:rPr>
        <w:t xml:space="preserve">172,485,000 </w:t>
      </w:r>
      <w:r>
        <w:rPr>
          <w:color w:val="000000"/>
          <w:sz w:val="22"/>
          <w:szCs w:val="22"/>
        </w:rPr>
        <w:t>gallons.</w:t>
      </w:r>
      <w:r w:rsidR="003F3202">
        <w:rPr>
          <w:color w:val="000000"/>
          <w:sz w:val="22"/>
          <w:szCs w:val="22"/>
        </w:rPr>
        <w:t xml:space="preserve">  The Town of Pendleton also purchased 10,919,000 gallons from neighboring towns with shared water lines for a grand total of 183,404,000 gallons purchased.</w:t>
      </w:r>
      <w:r>
        <w:rPr>
          <w:color w:val="000000"/>
          <w:sz w:val="22"/>
          <w:szCs w:val="22"/>
        </w:rPr>
        <w:t xml:space="preserve">  This leaves an unaccounted for total of </w:t>
      </w:r>
      <w:r w:rsidR="003F3202">
        <w:rPr>
          <w:color w:val="000000"/>
          <w:sz w:val="22"/>
          <w:szCs w:val="22"/>
        </w:rPr>
        <w:t xml:space="preserve">15,431,000 </w:t>
      </w:r>
      <w:r>
        <w:rPr>
          <w:color w:val="000000"/>
          <w:sz w:val="22"/>
          <w:szCs w:val="22"/>
        </w:rPr>
        <w:t>gallons (</w:t>
      </w:r>
      <w:r w:rsidR="003F3202">
        <w:rPr>
          <w:color w:val="000000"/>
          <w:sz w:val="22"/>
          <w:szCs w:val="22"/>
        </w:rPr>
        <w:t>9</w:t>
      </w:r>
      <w:r>
        <w:rPr>
          <w:color w:val="000000"/>
          <w:sz w:val="22"/>
          <w:szCs w:val="22"/>
        </w:rPr>
        <w:t>% of the total amount produced for 201</w:t>
      </w:r>
      <w:r w:rsidR="005F1AA3">
        <w:rPr>
          <w:color w:val="000000"/>
          <w:sz w:val="22"/>
          <w:szCs w:val="22"/>
        </w:rPr>
        <w:t>4</w:t>
      </w:r>
      <w:r>
        <w:rPr>
          <w:color w:val="000000"/>
          <w:sz w:val="22"/>
          <w:szCs w:val="22"/>
        </w:rPr>
        <w:t xml:space="preserve">).  This water is used to flush mains, fight fires and leakage. </w:t>
      </w:r>
      <w:r w:rsidR="00EF7DE2">
        <w:rPr>
          <w:color w:val="000000"/>
          <w:sz w:val="22"/>
          <w:szCs w:val="22"/>
        </w:rPr>
        <w:t xml:space="preserve"> </w:t>
      </w:r>
      <w:r>
        <w:rPr>
          <w:color w:val="000000"/>
          <w:sz w:val="22"/>
          <w:szCs w:val="22"/>
        </w:rPr>
        <w:t>In 201</w:t>
      </w:r>
      <w:r w:rsidR="005F1AA3">
        <w:rPr>
          <w:color w:val="000000"/>
          <w:sz w:val="22"/>
          <w:szCs w:val="22"/>
        </w:rPr>
        <w:t>4</w:t>
      </w:r>
      <w:r>
        <w:rPr>
          <w:color w:val="000000"/>
          <w:sz w:val="22"/>
          <w:szCs w:val="22"/>
        </w:rPr>
        <w:t xml:space="preserve">, water customers were charged </w:t>
      </w:r>
      <w:r w:rsidR="003F3202">
        <w:rPr>
          <w:color w:val="000000"/>
          <w:sz w:val="22"/>
          <w:szCs w:val="22"/>
        </w:rPr>
        <w:t xml:space="preserve">approximately </w:t>
      </w:r>
      <w:r>
        <w:rPr>
          <w:color w:val="000000"/>
          <w:sz w:val="22"/>
          <w:szCs w:val="22"/>
        </w:rPr>
        <w:t>$</w:t>
      </w:r>
      <w:r w:rsidR="003F3202">
        <w:rPr>
          <w:color w:val="000000"/>
          <w:sz w:val="22"/>
          <w:szCs w:val="22"/>
        </w:rPr>
        <w:t xml:space="preserve">1.60 </w:t>
      </w:r>
      <w:r>
        <w:rPr>
          <w:color w:val="000000"/>
          <w:sz w:val="22"/>
          <w:szCs w:val="22"/>
        </w:rPr>
        <w:t>per 1,000 gallons of water.</w:t>
      </w:r>
    </w:p>
    <w:p w:rsidR="0073178F" w:rsidRDefault="0073178F">
      <w:pPr>
        <w:jc w:val="both"/>
      </w:pPr>
    </w:p>
    <w:p w:rsidR="0073178F" w:rsidRDefault="0073178F">
      <w:pPr>
        <w:jc w:val="both"/>
        <w:rPr>
          <w:b/>
          <w:sz w:val="28"/>
        </w:rPr>
      </w:pPr>
      <w:r>
        <w:rPr>
          <w:b/>
          <w:sz w:val="28"/>
        </w:rPr>
        <w:t>ARE THERE CONTAMINANTS IN OUR DRINKING WATER?</w:t>
      </w:r>
    </w:p>
    <w:p w:rsidR="0073178F" w:rsidRPr="0073178F" w:rsidRDefault="0073178F">
      <w:pPr>
        <w:jc w:val="both"/>
      </w:pPr>
    </w:p>
    <w:p w:rsidR="005F1AA3" w:rsidRDefault="005F1AA3" w:rsidP="005F1AA3">
      <w:pPr>
        <w:jc w:val="both"/>
        <w:rPr>
          <w:sz w:val="22"/>
        </w:rPr>
      </w:pPr>
      <w:r>
        <w:rPr>
          <w:sz w:val="22"/>
        </w:rPr>
        <w:t>As the State regulations require, we routinely test your drinking water for numerous contaminants. These contaminants include:  microbiological contaminants, radioactive contaminants, inorganic compounds, nitrate, nitrite, lead and copper, volatile organic compounds, synthetic organic compounds, trihalomethanes, haloacetic acids, and disinfection by-products.  The table presented below depicts only those compounds which were detected in your drinking water.  The State allows us to test for some contaminants less than once per year because the concentrations of these contaminants do not change frequently.  Some of our data, though representative, is more than one year old.</w:t>
      </w:r>
    </w:p>
    <w:p w:rsidR="005F1AA3" w:rsidRDefault="005F1AA3" w:rsidP="005F1AA3">
      <w:pPr>
        <w:jc w:val="both"/>
        <w:rPr>
          <w:sz w:val="22"/>
        </w:rPr>
      </w:pPr>
    </w:p>
    <w:p w:rsidR="005F1AA3" w:rsidRDefault="005F1AA3" w:rsidP="005F1AA3">
      <w:pPr>
        <w:jc w:val="both"/>
        <w:rPr>
          <w:sz w:val="22"/>
        </w:rPr>
      </w:pPr>
      <w:r>
        <w:rPr>
          <w:sz w:val="22"/>
        </w:rPr>
        <w:t xml:space="preserve">It should be noted that all drinking water, including bottled drinking water, may be reasonably expected to contain at least small amounts of some contaminants.  The presence of contaminants does not necessarily indicate that water poses a health risk.  More information about contaminants and potential </w:t>
      </w:r>
      <w:r w:rsidRPr="000C41E1">
        <w:rPr>
          <w:sz w:val="22"/>
        </w:rPr>
        <w:t>health effects can be obtained by calling the EPA’s Safe Drinking Water Hotline (800-426-4791) or the Niagara County Health Department</w:t>
      </w:r>
      <w:r>
        <w:rPr>
          <w:sz w:val="22"/>
        </w:rPr>
        <w:t xml:space="preserve"> at (716) 439-7430.</w:t>
      </w:r>
    </w:p>
    <w:p w:rsidR="00E270CE" w:rsidRDefault="00E270CE" w:rsidP="005F1AA3">
      <w:pPr>
        <w:jc w:val="both"/>
        <w:rPr>
          <w:sz w:val="22"/>
        </w:rPr>
      </w:pPr>
    </w:p>
    <w:p w:rsidR="00E270CE" w:rsidRDefault="00E270CE" w:rsidP="005F1AA3">
      <w:pPr>
        <w:jc w:val="both"/>
        <w:rPr>
          <w:sz w:val="22"/>
        </w:rPr>
      </w:pPr>
    </w:p>
    <w:p w:rsidR="00E270CE" w:rsidRDefault="00E270CE" w:rsidP="005F1AA3">
      <w:pPr>
        <w:jc w:val="both"/>
        <w:rPr>
          <w:sz w:val="22"/>
        </w:rPr>
      </w:pPr>
    </w:p>
    <w:p w:rsidR="006303BD" w:rsidRDefault="006303BD" w:rsidP="003A096E">
      <w:pPr>
        <w:jc w:val="both"/>
        <w:rPr>
          <w:sz w:val="22"/>
        </w:rPr>
      </w:pPr>
    </w:p>
    <w:p w:rsidR="005F1AA3" w:rsidRDefault="005F1AA3" w:rsidP="003A096E">
      <w:pPr>
        <w:jc w:val="both"/>
        <w:rPr>
          <w:sz w:val="22"/>
        </w:rPr>
      </w:pPr>
    </w:p>
    <w:tbl>
      <w:tblPr>
        <w:tblW w:w="10171"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7"/>
        <w:gridCol w:w="982"/>
        <w:gridCol w:w="804"/>
        <w:gridCol w:w="1338"/>
        <w:gridCol w:w="1338"/>
        <w:gridCol w:w="804"/>
        <w:gridCol w:w="1160"/>
        <w:gridCol w:w="2318"/>
      </w:tblGrid>
      <w:tr w:rsidR="005F1AA3" w:rsidRPr="005F1AA3" w:rsidTr="001924D7">
        <w:trPr>
          <w:trHeight w:val="360"/>
          <w:tblHeader/>
          <w:jc w:val="center"/>
        </w:trPr>
        <w:tc>
          <w:tcPr>
            <w:tcW w:w="10171" w:type="dxa"/>
            <w:gridSpan w:val="8"/>
            <w:vAlign w:val="center"/>
          </w:tcPr>
          <w:p w:rsidR="005F1AA3" w:rsidRPr="005F1AA3" w:rsidRDefault="005F1AA3" w:rsidP="005F1AA3">
            <w:pPr>
              <w:jc w:val="both"/>
              <w:rPr>
                <w:b/>
                <w:sz w:val="22"/>
                <w:szCs w:val="22"/>
              </w:rPr>
            </w:pPr>
            <w:r w:rsidRPr="005F1AA3">
              <w:rPr>
                <w:b/>
                <w:sz w:val="22"/>
                <w:szCs w:val="22"/>
              </w:rPr>
              <w:lastRenderedPageBreak/>
              <w:t>Table 1: Table of Detected Contaminants</w:t>
            </w:r>
          </w:p>
        </w:tc>
      </w:tr>
      <w:tr w:rsidR="005F1AA3" w:rsidRPr="005F1AA3" w:rsidTr="001924D7">
        <w:trPr>
          <w:trHeight w:val="720"/>
          <w:tblHeader/>
          <w:jc w:val="center"/>
        </w:trPr>
        <w:tc>
          <w:tcPr>
            <w:tcW w:w="1427" w:type="dxa"/>
            <w:vAlign w:val="center"/>
          </w:tcPr>
          <w:p w:rsidR="005F1AA3" w:rsidRPr="005F1AA3" w:rsidRDefault="005F1AA3" w:rsidP="005F1AA3">
            <w:pPr>
              <w:rPr>
                <w:b/>
                <w:sz w:val="18"/>
              </w:rPr>
            </w:pPr>
            <w:r w:rsidRPr="005F1AA3">
              <w:rPr>
                <w:b/>
                <w:sz w:val="18"/>
              </w:rPr>
              <w:t>Contaminant</w:t>
            </w:r>
          </w:p>
        </w:tc>
        <w:tc>
          <w:tcPr>
            <w:tcW w:w="982" w:type="dxa"/>
            <w:vAlign w:val="center"/>
          </w:tcPr>
          <w:p w:rsidR="005F1AA3" w:rsidRPr="005F1AA3" w:rsidRDefault="005F1AA3" w:rsidP="005F1AA3">
            <w:pPr>
              <w:jc w:val="center"/>
              <w:rPr>
                <w:b/>
                <w:sz w:val="18"/>
              </w:rPr>
            </w:pPr>
            <w:r w:rsidRPr="005F1AA3">
              <w:rPr>
                <w:b/>
                <w:sz w:val="18"/>
              </w:rPr>
              <w:t>Violation</w:t>
            </w:r>
          </w:p>
          <w:p w:rsidR="005F1AA3" w:rsidRPr="005F1AA3" w:rsidRDefault="005F1AA3" w:rsidP="005F1AA3">
            <w:pPr>
              <w:jc w:val="center"/>
              <w:rPr>
                <w:b/>
                <w:sz w:val="18"/>
              </w:rPr>
            </w:pPr>
            <w:r w:rsidRPr="005F1AA3">
              <w:rPr>
                <w:b/>
                <w:sz w:val="18"/>
              </w:rPr>
              <w:t>Yes/No</w:t>
            </w:r>
          </w:p>
        </w:tc>
        <w:tc>
          <w:tcPr>
            <w:tcW w:w="804" w:type="dxa"/>
            <w:vAlign w:val="center"/>
          </w:tcPr>
          <w:p w:rsidR="005F1AA3" w:rsidRPr="005F1AA3" w:rsidRDefault="005F1AA3" w:rsidP="005F1AA3">
            <w:pPr>
              <w:jc w:val="center"/>
              <w:rPr>
                <w:b/>
                <w:sz w:val="18"/>
              </w:rPr>
            </w:pPr>
            <w:r w:rsidRPr="005F1AA3">
              <w:rPr>
                <w:b/>
                <w:sz w:val="18"/>
              </w:rPr>
              <w:t>Date of Sample</w:t>
            </w:r>
          </w:p>
        </w:tc>
        <w:tc>
          <w:tcPr>
            <w:tcW w:w="1338" w:type="dxa"/>
            <w:vAlign w:val="center"/>
          </w:tcPr>
          <w:p w:rsidR="005F1AA3" w:rsidRPr="005F1AA3" w:rsidRDefault="005F1AA3" w:rsidP="005F1AA3">
            <w:pPr>
              <w:jc w:val="center"/>
              <w:rPr>
                <w:b/>
                <w:sz w:val="18"/>
              </w:rPr>
            </w:pPr>
            <w:r w:rsidRPr="005F1AA3">
              <w:rPr>
                <w:b/>
                <w:sz w:val="18"/>
              </w:rPr>
              <w:t>Level Detected</w:t>
            </w:r>
          </w:p>
          <w:p w:rsidR="005F1AA3" w:rsidRPr="005F1AA3" w:rsidRDefault="005F1AA3" w:rsidP="005F1AA3">
            <w:pPr>
              <w:jc w:val="center"/>
              <w:rPr>
                <w:b/>
                <w:sz w:val="18"/>
              </w:rPr>
            </w:pPr>
            <w:r w:rsidRPr="005F1AA3">
              <w:rPr>
                <w:b/>
                <w:sz w:val="18"/>
              </w:rPr>
              <w:t>(Avg. / Max.)</w:t>
            </w:r>
          </w:p>
          <w:p w:rsidR="005F1AA3" w:rsidRPr="005F1AA3" w:rsidRDefault="005F1AA3" w:rsidP="005F1AA3">
            <w:pPr>
              <w:jc w:val="center"/>
              <w:rPr>
                <w:b/>
                <w:sz w:val="18"/>
              </w:rPr>
            </w:pPr>
            <w:r w:rsidRPr="005F1AA3">
              <w:rPr>
                <w:b/>
                <w:sz w:val="18"/>
              </w:rPr>
              <w:t>(Range)</w:t>
            </w:r>
          </w:p>
        </w:tc>
        <w:tc>
          <w:tcPr>
            <w:tcW w:w="1338" w:type="dxa"/>
            <w:vAlign w:val="center"/>
          </w:tcPr>
          <w:p w:rsidR="005F1AA3" w:rsidRPr="005F1AA3" w:rsidRDefault="005F1AA3" w:rsidP="005F1AA3">
            <w:pPr>
              <w:jc w:val="center"/>
              <w:rPr>
                <w:b/>
                <w:sz w:val="18"/>
              </w:rPr>
            </w:pPr>
            <w:r w:rsidRPr="005F1AA3">
              <w:rPr>
                <w:b/>
                <w:sz w:val="18"/>
              </w:rPr>
              <w:t>Unit of</w:t>
            </w:r>
          </w:p>
          <w:p w:rsidR="005F1AA3" w:rsidRPr="005F1AA3" w:rsidRDefault="005F1AA3" w:rsidP="005F1AA3">
            <w:pPr>
              <w:jc w:val="center"/>
              <w:rPr>
                <w:b/>
                <w:sz w:val="18"/>
              </w:rPr>
            </w:pPr>
            <w:r w:rsidRPr="005F1AA3">
              <w:rPr>
                <w:b/>
                <w:sz w:val="18"/>
              </w:rPr>
              <w:t>Measurement</w:t>
            </w:r>
          </w:p>
        </w:tc>
        <w:tc>
          <w:tcPr>
            <w:tcW w:w="804" w:type="dxa"/>
            <w:vAlign w:val="center"/>
          </w:tcPr>
          <w:p w:rsidR="005F1AA3" w:rsidRPr="005F1AA3" w:rsidRDefault="005F1AA3" w:rsidP="005F1AA3">
            <w:pPr>
              <w:jc w:val="center"/>
              <w:rPr>
                <w:b/>
                <w:sz w:val="18"/>
              </w:rPr>
            </w:pPr>
            <w:r w:rsidRPr="005F1AA3">
              <w:rPr>
                <w:b/>
                <w:sz w:val="18"/>
              </w:rPr>
              <w:t>MCLG</w:t>
            </w:r>
          </w:p>
        </w:tc>
        <w:tc>
          <w:tcPr>
            <w:tcW w:w="1160" w:type="dxa"/>
            <w:vAlign w:val="center"/>
          </w:tcPr>
          <w:p w:rsidR="005F1AA3" w:rsidRPr="005F1AA3" w:rsidRDefault="005F1AA3" w:rsidP="005F1AA3">
            <w:pPr>
              <w:jc w:val="center"/>
              <w:rPr>
                <w:b/>
                <w:sz w:val="18"/>
              </w:rPr>
            </w:pPr>
            <w:r w:rsidRPr="005F1AA3">
              <w:rPr>
                <w:b/>
                <w:sz w:val="18"/>
              </w:rPr>
              <w:t xml:space="preserve">Regulatory Limit </w:t>
            </w:r>
          </w:p>
        </w:tc>
        <w:tc>
          <w:tcPr>
            <w:tcW w:w="2318" w:type="dxa"/>
            <w:vAlign w:val="center"/>
          </w:tcPr>
          <w:p w:rsidR="005F1AA3" w:rsidRPr="005F1AA3" w:rsidRDefault="005F1AA3" w:rsidP="005F1AA3">
            <w:pPr>
              <w:jc w:val="center"/>
              <w:rPr>
                <w:b/>
                <w:sz w:val="18"/>
              </w:rPr>
            </w:pPr>
            <w:r w:rsidRPr="005F1AA3">
              <w:rPr>
                <w:b/>
                <w:sz w:val="18"/>
              </w:rPr>
              <w:t>Likely Source of Contamination</w:t>
            </w:r>
          </w:p>
        </w:tc>
      </w:tr>
      <w:tr w:rsidR="005F1AA3" w:rsidRPr="005F1AA3" w:rsidTr="001924D7">
        <w:trPr>
          <w:trHeight w:val="360"/>
          <w:jc w:val="center"/>
        </w:trPr>
        <w:tc>
          <w:tcPr>
            <w:tcW w:w="10171" w:type="dxa"/>
            <w:gridSpan w:val="8"/>
            <w:vAlign w:val="center"/>
          </w:tcPr>
          <w:p w:rsidR="005F1AA3" w:rsidRPr="005F1AA3" w:rsidRDefault="005F1AA3" w:rsidP="005F1AA3">
            <w:pPr>
              <w:widowControl w:val="0"/>
              <w:suppressAutoHyphens w:val="0"/>
              <w:jc w:val="both"/>
              <w:outlineLvl w:val="4"/>
              <w:rPr>
                <w:sz w:val="18"/>
              </w:rPr>
            </w:pPr>
            <w:r w:rsidRPr="005F1AA3">
              <w:rPr>
                <w:b/>
                <w:sz w:val="22"/>
              </w:rPr>
              <w:t>Inorganic Contaminants</w:t>
            </w:r>
          </w:p>
        </w:tc>
      </w:tr>
      <w:tr w:rsidR="005F1AA3" w:rsidRPr="005F1AA3" w:rsidTr="001924D7">
        <w:trPr>
          <w:trHeight w:val="899"/>
          <w:jc w:val="center"/>
        </w:trPr>
        <w:tc>
          <w:tcPr>
            <w:tcW w:w="1427" w:type="dxa"/>
            <w:vAlign w:val="center"/>
          </w:tcPr>
          <w:p w:rsidR="005F1AA3" w:rsidRPr="005F1AA3" w:rsidRDefault="005F1AA3" w:rsidP="005F1AA3">
            <w:pPr>
              <w:jc w:val="both"/>
              <w:rPr>
                <w:sz w:val="18"/>
                <w:szCs w:val="18"/>
              </w:rPr>
            </w:pPr>
            <w:r w:rsidRPr="005F1AA3">
              <w:rPr>
                <w:sz w:val="18"/>
                <w:szCs w:val="18"/>
              </w:rPr>
              <w:t>Arsenic</w:t>
            </w:r>
          </w:p>
        </w:tc>
        <w:tc>
          <w:tcPr>
            <w:tcW w:w="982" w:type="dxa"/>
            <w:shd w:val="clear" w:color="auto" w:fill="auto"/>
            <w:vAlign w:val="center"/>
          </w:tcPr>
          <w:p w:rsidR="005F1AA3" w:rsidRPr="005F1AA3" w:rsidRDefault="005F1AA3" w:rsidP="005F1AA3">
            <w:pPr>
              <w:jc w:val="center"/>
              <w:rPr>
                <w:sz w:val="18"/>
                <w:szCs w:val="18"/>
              </w:rPr>
            </w:pPr>
            <w:r w:rsidRPr="005F1AA3">
              <w:rPr>
                <w:sz w:val="18"/>
                <w:szCs w:val="18"/>
              </w:rPr>
              <w:t>No</w:t>
            </w:r>
          </w:p>
        </w:tc>
        <w:tc>
          <w:tcPr>
            <w:tcW w:w="804" w:type="dxa"/>
            <w:shd w:val="clear" w:color="auto" w:fill="auto"/>
            <w:vAlign w:val="center"/>
          </w:tcPr>
          <w:p w:rsidR="005F1AA3" w:rsidRPr="005F1AA3" w:rsidRDefault="005F1AA3" w:rsidP="005F1AA3">
            <w:pPr>
              <w:jc w:val="center"/>
              <w:rPr>
                <w:sz w:val="18"/>
                <w:szCs w:val="18"/>
              </w:rPr>
            </w:pPr>
            <w:r w:rsidRPr="005F1AA3">
              <w:rPr>
                <w:sz w:val="18"/>
                <w:szCs w:val="18"/>
              </w:rPr>
              <w:t>2/14</w:t>
            </w:r>
          </w:p>
        </w:tc>
        <w:tc>
          <w:tcPr>
            <w:tcW w:w="1338" w:type="dxa"/>
            <w:shd w:val="clear" w:color="auto" w:fill="auto"/>
            <w:vAlign w:val="center"/>
          </w:tcPr>
          <w:p w:rsidR="005F1AA3" w:rsidRPr="005F1AA3" w:rsidRDefault="005F1AA3" w:rsidP="005F1AA3">
            <w:pPr>
              <w:jc w:val="center"/>
              <w:rPr>
                <w:sz w:val="18"/>
                <w:szCs w:val="18"/>
              </w:rPr>
            </w:pPr>
            <w:r w:rsidRPr="005F1AA3">
              <w:rPr>
                <w:sz w:val="18"/>
                <w:szCs w:val="18"/>
              </w:rPr>
              <w:t>0.7</w:t>
            </w:r>
          </w:p>
        </w:tc>
        <w:tc>
          <w:tcPr>
            <w:tcW w:w="1338" w:type="dxa"/>
            <w:shd w:val="clear" w:color="auto" w:fill="auto"/>
            <w:vAlign w:val="center"/>
          </w:tcPr>
          <w:p w:rsidR="005F1AA3" w:rsidRPr="005F1AA3" w:rsidRDefault="005F1AA3" w:rsidP="005F1AA3">
            <w:pPr>
              <w:jc w:val="center"/>
              <w:rPr>
                <w:sz w:val="18"/>
                <w:szCs w:val="18"/>
              </w:rPr>
            </w:pPr>
            <w:r w:rsidRPr="005F1AA3">
              <w:rPr>
                <w:sz w:val="18"/>
                <w:szCs w:val="18"/>
              </w:rPr>
              <w:t>ug/L</w:t>
            </w:r>
          </w:p>
        </w:tc>
        <w:tc>
          <w:tcPr>
            <w:tcW w:w="804" w:type="dxa"/>
            <w:shd w:val="clear" w:color="auto" w:fill="auto"/>
            <w:vAlign w:val="center"/>
          </w:tcPr>
          <w:p w:rsidR="005F1AA3" w:rsidRPr="005F1AA3" w:rsidRDefault="005F1AA3" w:rsidP="005F1AA3">
            <w:pPr>
              <w:jc w:val="center"/>
              <w:rPr>
                <w:sz w:val="18"/>
                <w:szCs w:val="18"/>
              </w:rPr>
            </w:pPr>
            <w:r w:rsidRPr="005F1AA3">
              <w:rPr>
                <w:sz w:val="18"/>
                <w:szCs w:val="18"/>
              </w:rPr>
              <w:t>N/A</w:t>
            </w:r>
          </w:p>
        </w:tc>
        <w:tc>
          <w:tcPr>
            <w:tcW w:w="1160" w:type="dxa"/>
            <w:shd w:val="clear" w:color="auto" w:fill="auto"/>
            <w:vAlign w:val="center"/>
          </w:tcPr>
          <w:p w:rsidR="005F1AA3" w:rsidRPr="005F1AA3" w:rsidRDefault="005F1AA3" w:rsidP="005F1AA3">
            <w:pPr>
              <w:jc w:val="both"/>
              <w:rPr>
                <w:sz w:val="18"/>
                <w:szCs w:val="18"/>
              </w:rPr>
            </w:pPr>
            <w:r w:rsidRPr="005F1AA3">
              <w:rPr>
                <w:sz w:val="18"/>
                <w:szCs w:val="18"/>
              </w:rPr>
              <w:t>MCL=10</w:t>
            </w:r>
          </w:p>
        </w:tc>
        <w:tc>
          <w:tcPr>
            <w:tcW w:w="2318" w:type="dxa"/>
            <w:shd w:val="clear" w:color="auto" w:fill="auto"/>
            <w:vAlign w:val="center"/>
          </w:tcPr>
          <w:p w:rsidR="005F1AA3" w:rsidRPr="005F1AA3" w:rsidRDefault="005F1AA3" w:rsidP="005F1AA3">
            <w:pPr>
              <w:rPr>
                <w:sz w:val="18"/>
                <w:szCs w:val="18"/>
              </w:rPr>
            </w:pPr>
            <w:r w:rsidRPr="005F1AA3">
              <w:rPr>
                <w:sz w:val="18"/>
                <w:szCs w:val="18"/>
              </w:rPr>
              <w:t>Erosion of natural deposits, waste runoff from glass and electronics production or runoff from orchards</w:t>
            </w:r>
          </w:p>
        </w:tc>
      </w:tr>
      <w:tr w:rsidR="005F1AA3" w:rsidRPr="005F1AA3" w:rsidTr="001924D7">
        <w:trPr>
          <w:trHeight w:val="720"/>
          <w:jc w:val="center"/>
        </w:trPr>
        <w:tc>
          <w:tcPr>
            <w:tcW w:w="1427" w:type="dxa"/>
            <w:vAlign w:val="center"/>
          </w:tcPr>
          <w:p w:rsidR="005F1AA3" w:rsidRPr="005F1AA3" w:rsidRDefault="005F1AA3" w:rsidP="005F1AA3">
            <w:pPr>
              <w:jc w:val="both"/>
              <w:rPr>
                <w:sz w:val="18"/>
                <w:szCs w:val="18"/>
              </w:rPr>
            </w:pPr>
            <w:r w:rsidRPr="005F1AA3">
              <w:rPr>
                <w:sz w:val="18"/>
                <w:szCs w:val="18"/>
              </w:rPr>
              <w:t>Barium</w:t>
            </w:r>
          </w:p>
        </w:tc>
        <w:tc>
          <w:tcPr>
            <w:tcW w:w="982" w:type="dxa"/>
            <w:shd w:val="clear" w:color="auto" w:fill="auto"/>
            <w:vAlign w:val="center"/>
          </w:tcPr>
          <w:p w:rsidR="005F1AA3" w:rsidRPr="005F1AA3" w:rsidRDefault="005F1AA3" w:rsidP="005F1AA3">
            <w:pPr>
              <w:jc w:val="center"/>
              <w:rPr>
                <w:sz w:val="18"/>
                <w:szCs w:val="18"/>
              </w:rPr>
            </w:pPr>
            <w:r w:rsidRPr="005F1AA3">
              <w:rPr>
                <w:sz w:val="18"/>
                <w:szCs w:val="18"/>
              </w:rPr>
              <w:t>No</w:t>
            </w:r>
          </w:p>
        </w:tc>
        <w:tc>
          <w:tcPr>
            <w:tcW w:w="804" w:type="dxa"/>
            <w:shd w:val="clear" w:color="auto" w:fill="auto"/>
            <w:vAlign w:val="center"/>
          </w:tcPr>
          <w:p w:rsidR="005F1AA3" w:rsidRPr="005F1AA3" w:rsidRDefault="005F1AA3" w:rsidP="005F1AA3">
            <w:pPr>
              <w:jc w:val="center"/>
              <w:rPr>
                <w:sz w:val="18"/>
                <w:szCs w:val="18"/>
              </w:rPr>
            </w:pPr>
            <w:r w:rsidRPr="005F1AA3">
              <w:rPr>
                <w:sz w:val="18"/>
                <w:szCs w:val="18"/>
              </w:rPr>
              <w:t>2/14</w:t>
            </w:r>
          </w:p>
        </w:tc>
        <w:tc>
          <w:tcPr>
            <w:tcW w:w="1338" w:type="dxa"/>
            <w:shd w:val="clear" w:color="auto" w:fill="auto"/>
            <w:vAlign w:val="center"/>
          </w:tcPr>
          <w:p w:rsidR="005F1AA3" w:rsidRPr="005F1AA3" w:rsidRDefault="005F1AA3" w:rsidP="005F1AA3">
            <w:pPr>
              <w:jc w:val="center"/>
              <w:rPr>
                <w:sz w:val="18"/>
                <w:szCs w:val="18"/>
              </w:rPr>
            </w:pPr>
            <w:r w:rsidRPr="005F1AA3">
              <w:rPr>
                <w:sz w:val="18"/>
                <w:szCs w:val="18"/>
              </w:rPr>
              <w:t>0.0209</w:t>
            </w:r>
          </w:p>
        </w:tc>
        <w:tc>
          <w:tcPr>
            <w:tcW w:w="1338" w:type="dxa"/>
            <w:shd w:val="clear" w:color="auto" w:fill="auto"/>
            <w:vAlign w:val="center"/>
          </w:tcPr>
          <w:p w:rsidR="005F1AA3" w:rsidRPr="005F1AA3" w:rsidRDefault="005F1AA3" w:rsidP="005F1AA3">
            <w:pPr>
              <w:jc w:val="center"/>
              <w:rPr>
                <w:sz w:val="18"/>
                <w:szCs w:val="18"/>
              </w:rPr>
            </w:pPr>
            <w:r w:rsidRPr="005F1AA3">
              <w:rPr>
                <w:sz w:val="18"/>
                <w:szCs w:val="18"/>
              </w:rPr>
              <w:t>mg/L</w:t>
            </w:r>
          </w:p>
        </w:tc>
        <w:tc>
          <w:tcPr>
            <w:tcW w:w="804" w:type="dxa"/>
            <w:shd w:val="clear" w:color="auto" w:fill="auto"/>
            <w:vAlign w:val="center"/>
          </w:tcPr>
          <w:p w:rsidR="005F1AA3" w:rsidRPr="005F1AA3" w:rsidRDefault="005F1AA3" w:rsidP="005F1AA3">
            <w:pPr>
              <w:jc w:val="center"/>
              <w:rPr>
                <w:sz w:val="18"/>
                <w:szCs w:val="18"/>
              </w:rPr>
            </w:pPr>
            <w:r w:rsidRPr="005F1AA3">
              <w:rPr>
                <w:sz w:val="18"/>
                <w:szCs w:val="18"/>
              </w:rPr>
              <w:t>2.00</w:t>
            </w:r>
          </w:p>
        </w:tc>
        <w:tc>
          <w:tcPr>
            <w:tcW w:w="1160" w:type="dxa"/>
            <w:shd w:val="clear" w:color="auto" w:fill="auto"/>
            <w:vAlign w:val="center"/>
          </w:tcPr>
          <w:p w:rsidR="005F1AA3" w:rsidRPr="005F1AA3" w:rsidRDefault="005F1AA3" w:rsidP="005F1AA3">
            <w:pPr>
              <w:jc w:val="both"/>
              <w:rPr>
                <w:sz w:val="18"/>
                <w:szCs w:val="18"/>
              </w:rPr>
            </w:pPr>
            <w:r w:rsidRPr="005F1AA3">
              <w:rPr>
                <w:sz w:val="18"/>
                <w:szCs w:val="18"/>
              </w:rPr>
              <w:t>MCL=2.00</w:t>
            </w:r>
          </w:p>
        </w:tc>
        <w:tc>
          <w:tcPr>
            <w:tcW w:w="2318" w:type="dxa"/>
            <w:shd w:val="clear" w:color="auto" w:fill="auto"/>
            <w:vAlign w:val="center"/>
          </w:tcPr>
          <w:p w:rsidR="005F1AA3" w:rsidRPr="005F1AA3" w:rsidRDefault="005F1AA3" w:rsidP="005F1AA3">
            <w:pPr>
              <w:rPr>
                <w:sz w:val="18"/>
              </w:rPr>
            </w:pPr>
            <w:r w:rsidRPr="005F1AA3">
              <w:rPr>
                <w:sz w:val="18"/>
                <w:szCs w:val="18"/>
              </w:rPr>
              <w:t>Discharge of drilling wastes and from metal refineries; Erosion of natural deposits.</w:t>
            </w:r>
          </w:p>
        </w:tc>
      </w:tr>
      <w:tr w:rsidR="005F1AA3" w:rsidRPr="005F1AA3" w:rsidTr="001924D7">
        <w:trPr>
          <w:trHeight w:val="773"/>
          <w:jc w:val="center"/>
        </w:trPr>
        <w:tc>
          <w:tcPr>
            <w:tcW w:w="1427" w:type="dxa"/>
            <w:vAlign w:val="center"/>
          </w:tcPr>
          <w:p w:rsidR="005F1AA3" w:rsidRPr="005F1AA3" w:rsidRDefault="005F1AA3" w:rsidP="005F1AA3">
            <w:pPr>
              <w:rPr>
                <w:sz w:val="18"/>
                <w:szCs w:val="18"/>
                <w:vertAlign w:val="superscript"/>
              </w:rPr>
            </w:pPr>
            <w:r w:rsidRPr="005F1AA3">
              <w:rPr>
                <w:sz w:val="18"/>
                <w:szCs w:val="18"/>
              </w:rPr>
              <w:t>Copper</w:t>
            </w:r>
            <w:r w:rsidRPr="005F1AA3">
              <w:rPr>
                <w:sz w:val="18"/>
                <w:szCs w:val="18"/>
                <w:vertAlign w:val="superscript"/>
              </w:rPr>
              <w:t>1</w:t>
            </w:r>
          </w:p>
          <w:p w:rsidR="005F1AA3" w:rsidRPr="005F1AA3" w:rsidRDefault="005F1AA3" w:rsidP="005F1AA3">
            <w:pPr>
              <w:rPr>
                <w:sz w:val="18"/>
                <w:szCs w:val="18"/>
                <w:vertAlign w:val="superscript"/>
              </w:rPr>
            </w:pPr>
            <w:r w:rsidRPr="005F1AA3">
              <w:rPr>
                <w:sz w:val="18"/>
                <w:szCs w:val="18"/>
              </w:rPr>
              <w:t>(in distribution system)</w:t>
            </w:r>
          </w:p>
        </w:tc>
        <w:tc>
          <w:tcPr>
            <w:tcW w:w="982" w:type="dxa"/>
            <w:vAlign w:val="center"/>
          </w:tcPr>
          <w:p w:rsidR="005F1AA3" w:rsidRPr="005F1AA3" w:rsidRDefault="005F1AA3" w:rsidP="005F1AA3">
            <w:pPr>
              <w:jc w:val="center"/>
              <w:rPr>
                <w:sz w:val="18"/>
                <w:szCs w:val="18"/>
              </w:rPr>
            </w:pPr>
            <w:r w:rsidRPr="005F1AA3">
              <w:rPr>
                <w:sz w:val="18"/>
                <w:szCs w:val="18"/>
              </w:rPr>
              <w:t>No</w:t>
            </w:r>
          </w:p>
        </w:tc>
        <w:tc>
          <w:tcPr>
            <w:tcW w:w="804" w:type="dxa"/>
            <w:vAlign w:val="center"/>
          </w:tcPr>
          <w:p w:rsidR="005F1AA3" w:rsidRPr="005F1AA3" w:rsidRDefault="005F1AA3" w:rsidP="005F1AA3">
            <w:pPr>
              <w:jc w:val="center"/>
              <w:rPr>
                <w:sz w:val="18"/>
                <w:szCs w:val="18"/>
              </w:rPr>
            </w:pPr>
            <w:r w:rsidRPr="005F1AA3">
              <w:rPr>
                <w:sz w:val="18"/>
                <w:szCs w:val="18"/>
              </w:rPr>
              <w:t>6/14-9/14</w:t>
            </w:r>
          </w:p>
        </w:tc>
        <w:tc>
          <w:tcPr>
            <w:tcW w:w="1338" w:type="dxa"/>
            <w:vAlign w:val="center"/>
          </w:tcPr>
          <w:p w:rsidR="005F1AA3" w:rsidRPr="005F1AA3" w:rsidRDefault="005F1AA3" w:rsidP="005F1AA3">
            <w:pPr>
              <w:jc w:val="center"/>
              <w:rPr>
                <w:sz w:val="18"/>
                <w:szCs w:val="18"/>
              </w:rPr>
            </w:pPr>
            <w:r w:rsidRPr="005F1AA3">
              <w:rPr>
                <w:sz w:val="18"/>
                <w:szCs w:val="18"/>
              </w:rPr>
              <w:t>0.201</w:t>
            </w:r>
          </w:p>
          <w:p w:rsidR="005F1AA3" w:rsidRPr="005F1AA3" w:rsidRDefault="005F1AA3" w:rsidP="005F1AA3">
            <w:pPr>
              <w:jc w:val="center"/>
              <w:rPr>
                <w:sz w:val="18"/>
                <w:szCs w:val="18"/>
              </w:rPr>
            </w:pPr>
            <w:r w:rsidRPr="005F1AA3">
              <w:rPr>
                <w:sz w:val="18"/>
                <w:szCs w:val="18"/>
              </w:rPr>
              <w:t>(0.01-0.33)</w:t>
            </w:r>
          </w:p>
        </w:tc>
        <w:tc>
          <w:tcPr>
            <w:tcW w:w="1338" w:type="dxa"/>
            <w:vAlign w:val="center"/>
          </w:tcPr>
          <w:p w:rsidR="005F1AA3" w:rsidRPr="005F1AA3" w:rsidRDefault="005F1AA3" w:rsidP="005F1AA3">
            <w:pPr>
              <w:jc w:val="center"/>
              <w:rPr>
                <w:sz w:val="18"/>
                <w:szCs w:val="18"/>
              </w:rPr>
            </w:pPr>
            <w:r w:rsidRPr="005F1AA3">
              <w:rPr>
                <w:sz w:val="18"/>
                <w:szCs w:val="18"/>
              </w:rPr>
              <w:t>mg/L</w:t>
            </w:r>
          </w:p>
        </w:tc>
        <w:tc>
          <w:tcPr>
            <w:tcW w:w="804" w:type="dxa"/>
            <w:vAlign w:val="center"/>
          </w:tcPr>
          <w:p w:rsidR="005F1AA3" w:rsidRPr="005F1AA3" w:rsidRDefault="005F1AA3" w:rsidP="005F1AA3">
            <w:pPr>
              <w:jc w:val="center"/>
              <w:rPr>
                <w:sz w:val="18"/>
                <w:szCs w:val="18"/>
              </w:rPr>
            </w:pPr>
            <w:r w:rsidRPr="005F1AA3">
              <w:rPr>
                <w:sz w:val="18"/>
                <w:szCs w:val="18"/>
              </w:rPr>
              <w:t>1.3</w:t>
            </w:r>
          </w:p>
        </w:tc>
        <w:tc>
          <w:tcPr>
            <w:tcW w:w="1160" w:type="dxa"/>
            <w:vAlign w:val="center"/>
          </w:tcPr>
          <w:p w:rsidR="005F1AA3" w:rsidRPr="005F1AA3" w:rsidRDefault="005F1AA3" w:rsidP="005F1AA3">
            <w:pPr>
              <w:jc w:val="both"/>
              <w:rPr>
                <w:sz w:val="18"/>
                <w:szCs w:val="18"/>
              </w:rPr>
            </w:pPr>
            <w:r w:rsidRPr="005F1AA3">
              <w:rPr>
                <w:sz w:val="18"/>
                <w:szCs w:val="18"/>
              </w:rPr>
              <w:t>AL=1.3</w:t>
            </w:r>
          </w:p>
        </w:tc>
        <w:tc>
          <w:tcPr>
            <w:tcW w:w="2318" w:type="dxa"/>
            <w:vAlign w:val="center"/>
          </w:tcPr>
          <w:p w:rsidR="005F1AA3" w:rsidRPr="005F1AA3" w:rsidRDefault="005F1AA3" w:rsidP="005F1AA3">
            <w:pPr>
              <w:rPr>
                <w:sz w:val="18"/>
                <w:szCs w:val="18"/>
              </w:rPr>
            </w:pPr>
            <w:r w:rsidRPr="005F1AA3">
              <w:rPr>
                <w:sz w:val="18"/>
                <w:szCs w:val="18"/>
              </w:rPr>
              <w:t>Corrosion of galvanized pipes; Erosion of natural deposits.</w:t>
            </w:r>
          </w:p>
        </w:tc>
      </w:tr>
      <w:tr w:rsidR="005F1AA3" w:rsidRPr="005F1AA3" w:rsidTr="001924D7">
        <w:trPr>
          <w:trHeight w:val="710"/>
          <w:jc w:val="center"/>
        </w:trPr>
        <w:tc>
          <w:tcPr>
            <w:tcW w:w="1427" w:type="dxa"/>
            <w:vAlign w:val="center"/>
          </w:tcPr>
          <w:p w:rsidR="005F1AA3" w:rsidRPr="005F1AA3" w:rsidRDefault="005F1AA3" w:rsidP="005F1AA3">
            <w:pPr>
              <w:spacing w:line="228" w:lineRule="auto"/>
              <w:rPr>
                <w:sz w:val="18"/>
                <w:szCs w:val="18"/>
              </w:rPr>
            </w:pPr>
            <w:r w:rsidRPr="005F1AA3">
              <w:rPr>
                <w:sz w:val="18"/>
                <w:szCs w:val="18"/>
              </w:rPr>
              <w:t>Fluoride</w:t>
            </w:r>
          </w:p>
        </w:tc>
        <w:tc>
          <w:tcPr>
            <w:tcW w:w="982" w:type="dxa"/>
            <w:shd w:val="clear" w:color="auto" w:fill="auto"/>
            <w:vAlign w:val="center"/>
          </w:tcPr>
          <w:p w:rsidR="005F1AA3" w:rsidRPr="005F1AA3" w:rsidRDefault="005F1AA3" w:rsidP="005F1AA3">
            <w:pPr>
              <w:jc w:val="center"/>
              <w:rPr>
                <w:sz w:val="18"/>
                <w:szCs w:val="18"/>
              </w:rPr>
            </w:pPr>
            <w:r w:rsidRPr="005F1AA3">
              <w:rPr>
                <w:sz w:val="18"/>
                <w:szCs w:val="18"/>
              </w:rPr>
              <w:t>No</w:t>
            </w:r>
          </w:p>
        </w:tc>
        <w:tc>
          <w:tcPr>
            <w:tcW w:w="804" w:type="dxa"/>
            <w:shd w:val="clear" w:color="auto" w:fill="auto"/>
            <w:vAlign w:val="center"/>
          </w:tcPr>
          <w:p w:rsidR="005F1AA3" w:rsidRPr="005F1AA3" w:rsidRDefault="005F1AA3" w:rsidP="005F1AA3">
            <w:pPr>
              <w:jc w:val="center"/>
              <w:rPr>
                <w:sz w:val="18"/>
                <w:szCs w:val="18"/>
              </w:rPr>
            </w:pPr>
            <w:r w:rsidRPr="005F1AA3">
              <w:rPr>
                <w:sz w:val="18"/>
                <w:szCs w:val="18"/>
              </w:rPr>
              <w:t>1/14-12/14</w:t>
            </w:r>
          </w:p>
        </w:tc>
        <w:tc>
          <w:tcPr>
            <w:tcW w:w="1338" w:type="dxa"/>
            <w:shd w:val="clear" w:color="auto" w:fill="auto"/>
            <w:vAlign w:val="center"/>
          </w:tcPr>
          <w:p w:rsidR="005F1AA3" w:rsidRPr="005F1AA3" w:rsidRDefault="005F1AA3" w:rsidP="005F1AA3">
            <w:pPr>
              <w:spacing w:line="228" w:lineRule="auto"/>
              <w:jc w:val="center"/>
              <w:rPr>
                <w:sz w:val="18"/>
                <w:szCs w:val="18"/>
              </w:rPr>
            </w:pPr>
            <w:r w:rsidRPr="005F1AA3">
              <w:rPr>
                <w:sz w:val="18"/>
                <w:szCs w:val="18"/>
              </w:rPr>
              <w:t>0.95</w:t>
            </w:r>
          </w:p>
          <w:p w:rsidR="005F1AA3" w:rsidRPr="005F1AA3" w:rsidRDefault="005F1AA3" w:rsidP="005F1AA3">
            <w:pPr>
              <w:spacing w:line="228" w:lineRule="auto"/>
              <w:jc w:val="center"/>
              <w:rPr>
                <w:sz w:val="18"/>
                <w:szCs w:val="18"/>
              </w:rPr>
            </w:pPr>
            <w:r w:rsidRPr="005F1AA3">
              <w:rPr>
                <w:sz w:val="18"/>
                <w:szCs w:val="18"/>
              </w:rPr>
              <w:t>(.85-1.02)</w:t>
            </w:r>
          </w:p>
        </w:tc>
        <w:tc>
          <w:tcPr>
            <w:tcW w:w="1338" w:type="dxa"/>
            <w:shd w:val="clear" w:color="auto" w:fill="auto"/>
            <w:vAlign w:val="center"/>
          </w:tcPr>
          <w:p w:rsidR="005F1AA3" w:rsidRPr="005F1AA3" w:rsidDel="004D1009" w:rsidRDefault="005F1AA3" w:rsidP="005F1AA3">
            <w:pPr>
              <w:spacing w:line="228" w:lineRule="auto"/>
              <w:jc w:val="center"/>
              <w:rPr>
                <w:sz w:val="18"/>
                <w:szCs w:val="18"/>
              </w:rPr>
            </w:pPr>
            <w:r w:rsidRPr="005F1AA3">
              <w:rPr>
                <w:sz w:val="18"/>
                <w:szCs w:val="18"/>
              </w:rPr>
              <w:t>mg/L</w:t>
            </w:r>
          </w:p>
        </w:tc>
        <w:tc>
          <w:tcPr>
            <w:tcW w:w="804" w:type="dxa"/>
            <w:shd w:val="clear" w:color="auto" w:fill="auto"/>
            <w:vAlign w:val="center"/>
          </w:tcPr>
          <w:p w:rsidR="005F1AA3" w:rsidRPr="005F1AA3" w:rsidDel="004D1009" w:rsidRDefault="005F1AA3" w:rsidP="005F1AA3">
            <w:pPr>
              <w:spacing w:line="228" w:lineRule="auto"/>
              <w:jc w:val="center"/>
              <w:rPr>
                <w:sz w:val="18"/>
                <w:szCs w:val="18"/>
              </w:rPr>
            </w:pPr>
            <w:r w:rsidRPr="005F1AA3">
              <w:rPr>
                <w:sz w:val="18"/>
                <w:szCs w:val="18"/>
              </w:rPr>
              <w:t>N/A</w:t>
            </w:r>
          </w:p>
        </w:tc>
        <w:tc>
          <w:tcPr>
            <w:tcW w:w="1160" w:type="dxa"/>
            <w:shd w:val="clear" w:color="auto" w:fill="auto"/>
            <w:vAlign w:val="center"/>
          </w:tcPr>
          <w:p w:rsidR="005F1AA3" w:rsidRPr="005F1AA3" w:rsidDel="004D1009" w:rsidRDefault="005F1AA3" w:rsidP="005F1AA3">
            <w:pPr>
              <w:spacing w:line="228" w:lineRule="auto"/>
              <w:jc w:val="both"/>
              <w:rPr>
                <w:sz w:val="18"/>
                <w:szCs w:val="18"/>
              </w:rPr>
            </w:pPr>
            <w:r w:rsidRPr="005F1AA3">
              <w:rPr>
                <w:sz w:val="18"/>
                <w:szCs w:val="18"/>
              </w:rPr>
              <w:t>MCL=2.2</w:t>
            </w:r>
          </w:p>
        </w:tc>
        <w:tc>
          <w:tcPr>
            <w:tcW w:w="2318" w:type="dxa"/>
            <w:shd w:val="clear" w:color="auto" w:fill="auto"/>
            <w:vAlign w:val="center"/>
          </w:tcPr>
          <w:p w:rsidR="005F1AA3" w:rsidRPr="005F1AA3" w:rsidRDefault="005F1AA3" w:rsidP="005F1AA3">
            <w:pPr>
              <w:spacing w:line="228" w:lineRule="auto"/>
              <w:rPr>
                <w:sz w:val="18"/>
                <w:szCs w:val="18"/>
              </w:rPr>
            </w:pPr>
            <w:r w:rsidRPr="005F1AA3">
              <w:rPr>
                <w:sz w:val="18"/>
                <w:szCs w:val="18"/>
              </w:rPr>
              <w:t>Erosion of natural deposits; Water additive that promotes strong teeth</w:t>
            </w:r>
          </w:p>
        </w:tc>
      </w:tr>
      <w:tr w:rsidR="005F1AA3" w:rsidRPr="005F1AA3" w:rsidTr="001924D7">
        <w:trPr>
          <w:trHeight w:val="720"/>
          <w:jc w:val="center"/>
        </w:trPr>
        <w:tc>
          <w:tcPr>
            <w:tcW w:w="1427" w:type="dxa"/>
            <w:vAlign w:val="center"/>
          </w:tcPr>
          <w:p w:rsidR="005F1AA3" w:rsidRPr="005F1AA3" w:rsidRDefault="005F1AA3" w:rsidP="005F1AA3">
            <w:pPr>
              <w:spacing w:line="228" w:lineRule="auto"/>
              <w:rPr>
                <w:sz w:val="18"/>
                <w:szCs w:val="18"/>
              </w:rPr>
            </w:pPr>
            <w:r w:rsidRPr="005F1AA3">
              <w:rPr>
                <w:sz w:val="18"/>
                <w:szCs w:val="18"/>
              </w:rPr>
              <w:t>Lead</w:t>
            </w:r>
            <w:r w:rsidRPr="005F1AA3">
              <w:rPr>
                <w:sz w:val="18"/>
                <w:szCs w:val="18"/>
                <w:vertAlign w:val="superscript"/>
              </w:rPr>
              <w:t>1</w:t>
            </w:r>
          </w:p>
          <w:p w:rsidR="005F1AA3" w:rsidRPr="005F1AA3" w:rsidRDefault="005F1AA3" w:rsidP="005F1AA3">
            <w:pPr>
              <w:spacing w:line="228" w:lineRule="auto"/>
              <w:rPr>
                <w:sz w:val="18"/>
                <w:szCs w:val="18"/>
              </w:rPr>
            </w:pPr>
            <w:r w:rsidRPr="005F1AA3">
              <w:rPr>
                <w:sz w:val="18"/>
                <w:szCs w:val="18"/>
              </w:rPr>
              <w:t>(in distribution system)</w:t>
            </w:r>
          </w:p>
        </w:tc>
        <w:tc>
          <w:tcPr>
            <w:tcW w:w="982" w:type="dxa"/>
            <w:shd w:val="clear" w:color="auto" w:fill="auto"/>
            <w:vAlign w:val="center"/>
          </w:tcPr>
          <w:p w:rsidR="005F1AA3" w:rsidRPr="005F1AA3" w:rsidRDefault="005F1AA3" w:rsidP="005F1AA3">
            <w:pPr>
              <w:jc w:val="center"/>
              <w:rPr>
                <w:szCs w:val="18"/>
              </w:rPr>
            </w:pPr>
            <w:r w:rsidRPr="005F1AA3">
              <w:rPr>
                <w:sz w:val="18"/>
                <w:szCs w:val="18"/>
              </w:rPr>
              <w:t>No</w:t>
            </w:r>
          </w:p>
        </w:tc>
        <w:tc>
          <w:tcPr>
            <w:tcW w:w="804" w:type="dxa"/>
            <w:shd w:val="clear" w:color="auto" w:fill="auto"/>
            <w:vAlign w:val="center"/>
          </w:tcPr>
          <w:p w:rsidR="005F1AA3" w:rsidRPr="005F1AA3" w:rsidRDefault="005F1AA3" w:rsidP="005F1AA3">
            <w:pPr>
              <w:jc w:val="center"/>
              <w:rPr>
                <w:sz w:val="18"/>
                <w:szCs w:val="18"/>
              </w:rPr>
            </w:pPr>
            <w:r w:rsidRPr="005F1AA3">
              <w:rPr>
                <w:sz w:val="18"/>
                <w:szCs w:val="18"/>
              </w:rPr>
              <w:t>6/14 -</w:t>
            </w:r>
          </w:p>
          <w:p w:rsidR="005F1AA3" w:rsidRPr="005F1AA3" w:rsidRDefault="005F1AA3" w:rsidP="005F1AA3">
            <w:pPr>
              <w:spacing w:line="228" w:lineRule="auto"/>
              <w:jc w:val="center"/>
              <w:rPr>
                <w:sz w:val="18"/>
                <w:szCs w:val="18"/>
              </w:rPr>
            </w:pPr>
            <w:r w:rsidRPr="005F1AA3">
              <w:rPr>
                <w:sz w:val="18"/>
                <w:szCs w:val="18"/>
              </w:rPr>
              <w:t>9/14</w:t>
            </w:r>
          </w:p>
        </w:tc>
        <w:tc>
          <w:tcPr>
            <w:tcW w:w="1338" w:type="dxa"/>
            <w:shd w:val="clear" w:color="auto" w:fill="auto"/>
            <w:vAlign w:val="center"/>
          </w:tcPr>
          <w:p w:rsidR="005F1AA3" w:rsidRPr="005F1AA3" w:rsidRDefault="005F1AA3" w:rsidP="005F1AA3">
            <w:pPr>
              <w:spacing w:line="228" w:lineRule="auto"/>
              <w:jc w:val="center"/>
              <w:rPr>
                <w:sz w:val="18"/>
                <w:szCs w:val="18"/>
              </w:rPr>
            </w:pPr>
            <w:r w:rsidRPr="005F1AA3">
              <w:rPr>
                <w:sz w:val="18"/>
                <w:szCs w:val="18"/>
              </w:rPr>
              <w:t>4.5</w:t>
            </w:r>
          </w:p>
          <w:p w:rsidR="005F1AA3" w:rsidRPr="005F1AA3" w:rsidRDefault="005F1AA3" w:rsidP="005F1AA3">
            <w:pPr>
              <w:spacing w:line="228" w:lineRule="auto"/>
              <w:jc w:val="center"/>
              <w:rPr>
                <w:sz w:val="18"/>
                <w:szCs w:val="18"/>
              </w:rPr>
            </w:pPr>
            <w:r w:rsidRPr="005F1AA3">
              <w:rPr>
                <w:sz w:val="18"/>
                <w:szCs w:val="18"/>
              </w:rPr>
              <w:t>(0.50 – 299)</w:t>
            </w:r>
          </w:p>
        </w:tc>
        <w:tc>
          <w:tcPr>
            <w:tcW w:w="1338" w:type="dxa"/>
            <w:shd w:val="clear" w:color="auto" w:fill="auto"/>
            <w:vAlign w:val="center"/>
          </w:tcPr>
          <w:p w:rsidR="005F1AA3" w:rsidRPr="005F1AA3" w:rsidRDefault="005F1AA3" w:rsidP="005F1AA3">
            <w:pPr>
              <w:spacing w:line="228" w:lineRule="auto"/>
              <w:jc w:val="center"/>
              <w:rPr>
                <w:sz w:val="18"/>
                <w:szCs w:val="18"/>
              </w:rPr>
            </w:pPr>
            <w:r w:rsidRPr="005F1AA3">
              <w:rPr>
                <w:sz w:val="18"/>
              </w:rPr>
              <w:t>ug</w:t>
            </w:r>
            <w:r w:rsidRPr="005F1AA3">
              <w:rPr>
                <w:sz w:val="18"/>
                <w:szCs w:val="18"/>
              </w:rPr>
              <w:t>/L</w:t>
            </w:r>
          </w:p>
        </w:tc>
        <w:tc>
          <w:tcPr>
            <w:tcW w:w="804" w:type="dxa"/>
            <w:shd w:val="clear" w:color="auto" w:fill="auto"/>
            <w:vAlign w:val="center"/>
          </w:tcPr>
          <w:p w:rsidR="005F1AA3" w:rsidRPr="005F1AA3" w:rsidRDefault="005F1AA3" w:rsidP="005F1AA3">
            <w:pPr>
              <w:spacing w:line="228" w:lineRule="auto"/>
              <w:jc w:val="center"/>
              <w:rPr>
                <w:sz w:val="18"/>
                <w:szCs w:val="18"/>
              </w:rPr>
            </w:pPr>
            <w:r w:rsidRPr="005F1AA3">
              <w:rPr>
                <w:sz w:val="18"/>
                <w:szCs w:val="18"/>
              </w:rPr>
              <w:t>0</w:t>
            </w:r>
          </w:p>
        </w:tc>
        <w:tc>
          <w:tcPr>
            <w:tcW w:w="1160" w:type="dxa"/>
            <w:shd w:val="clear" w:color="auto" w:fill="auto"/>
            <w:vAlign w:val="center"/>
          </w:tcPr>
          <w:p w:rsidR="005F1AA3" w:rsidRPr="005F1AA3" w:rsidRDefault="005F1AA3" w:rsidP="005F1AA3">
            <w:pPr>
              <w:spacing w:line="228" w:lineRule="auto"/>
              <w:jc w:val="both"/>
              <w:rPr>
                <w:sz w:val="18"/>
                <w:szCs w:val="18"/>
              </w:rPr>
            </w:pPr>
            <w:r w:rsidRPr="005F1AA3">
              <w:rPr>
                <w:sz w:val="18"/>
                <w:szCs w:val="18"/>
              </w:rPr>
              <w:t>AL=15</w:t>
            </w:r>
          </w:p>
        </w:tc>
        <w:tc>
          <w:tcPr>
            <w:tcW w:w="2318" w:type="dxa"/>
            <w:shd w:val="clear" w:color="auto" w:fill="auto"/>
            <w:vAlign w:val="center"/>
          </w:tcPr>
          <w:p w:rsidR="005F1AA3" w:rsidRPr="005F1AA3" w:rsidRDefault="005F1AA3" w:rsidP="005F1AA3">
            <w:pPr>
              <w:spacing w:line="228" w:lineRule="auto"/>
              <w:rPr>
                <w:sz w:val="18"/>
                <w:szCs w:val="18"/>
              </w:rPr>
            </w:pPr>
            <w:r w:rsidRPr="005F1AA3">
              <w:rPr>
                <w:sz w:val="18"/>
                <w:szCs w:val="18"/>
              </w:rPr>
              <w:t>Corrosion of household plumbing systems; Erosion of natural deposits.</w:t>
            </w:r>
          </w:p>
        </w:tc>
      </w:tr>
      <w:tr w:rsidR="005F1AA3" w:rsidRPr="005F1AA3" w:rsidTr="001924D7">
        <w:trPr>
          <w:trHeight w:val="710"/>
          <w:jc w:val="center"/>
        </w:trPr>
        <w:tc>
          <w:tcPr>
            <w:tcW w:w="1427" w:type="dxa"/>
            <w:vAlign w:val="center"/>
          </w:tcPr>
          <w:p w:rsidR="005F1AA3" w:rsidRPr="005F1AA3" w:rsidRDefault="005F1AA3" w:rsidP="005F1AA3">
            <w:pPr>
              <w:jc w:val="both"/>
              <w:rPr>
                <w:sz w:val="18"/>
                <w:szCs w:val="18"/>
              </w:rPr>
            </w:pPr>
            <w:r w:rsidRPr="005F1AA3">
              <w:rPr>
                <w:sz w:val="18"/>
                <w:szCs w:val="18"/>
              </w:rPr>
              <w:t>Nickel</w:t>
            </w:r>
          </w:p>
        </w:tc>
        <w:tc>
          <w:tcPr>
            <w:tcW w:w="982" w:type="dxa"/>
            <w:vAlign w:val="center"/>
          </w:tcPr>
          <w:p w:rsidR="005F1AA3" w:rsidRPr="005F1AA3" w:rsidRDefault="005F1AA3" w:rsidP="005F1AA3">
            <w:pPr>
              <w:jc w:val="center"/>
              <w:rPr>
                <w:sz w:val="18"/>
                <w:szCs w:val="18"/>
              </w:rPr>
            </w:pPr>
            <w:r w:rsidRPr="005F1AA3">
              <w:rPr>
                <w:sz w:val="18"/>
                <w:szCs w:val="18"/>
              </w:rPr>
              <w:t>No</w:t>
            </w:r>
          </w:p>
        </w:tc>
        <w:tc>
          <w:tcPr>
            <w:tcW w:w="804" w:type="dxa"/>
            <w:vAlign w:val="center"/>
          </w:tcPr>
          <w:p w:rsidR="005F1AA3" w:rsidRPr="005F1AA3" w:rsidRDefault="005F1AA3" w:rsidP="005F1AA3">
            <w:pPr>
              <w:jc w:val="center"/>
              <w:rPr>
                <w:sz w:val="18"/>
                <w:szCs w:val="18"/>
              </w:rPr>
            </w:pPr>
            <w:r w:rsidRPr="005F1AA3">
              <w:rPr>
                <w:sz w:val="18"/>
                <w:szCs w:val="18"/>
              </w:rPr>
              <w:t>2/14</w:t>
            </w:r>
          </w:p>
        </w:tc>
        <w:tc>
          <w:tcPr>
            <w:tcW w:w="1338" w:type="dxa"/>
            <w:vAlign w:val="center"/>
          </w:tcPr>
          <w:p w:rsidR="005F1AA3" w:rsidRPr="005F1AA3" w:rsidRDefault="005F1AA3" w:rsidP="005F1AA3">
            <w:pPr>
              <w:jc w:val="center"/>
              <w:rPr>
                <w:sz w:val="18"/>
                <w:szCs w:val="18"/>
              </w:rPr>
            </w:pPr>
            <w:r w:rsidRPr="005F1AA3">
              <w:rPr>
                <w:sz w:val="18"/>
                <w:szCs w:val="18"/>
              </w:rPr>
              <w:t>0.0011</w:t>
            </w:r>
          </w:p>
        </w:tc>
        <w:tc>
          <w:tcPr>
            <w:tcW w:w="1338" w:type="dxa"/>
            <w:vAlign w:val="center"/>
          </w:tcPr>
          <w:p w:rsidR="005F1AA3" w:rsidRPr="005F1AA3" w:rsidRDefault="005F1AA3" w:rsidP="005F1AA3">
            <w:pPr>
              <w:spacing w:line="228" w:lineRule="auto"/>
              <w:jc w:val="center"/>
              <w:rPr>
                <w:sz w:val="18"/>
                <w:szCs w:val="18"/>
              </w:rPr>
            </w:pPr>
            <w:r w:rsidRPr="005F1AA3">
              <w:rPr>
                <w:sz w:val="18"/>
              </w:rPr>
              <w:t>m</w:t>
            </w:r>
            <w:r w:rsidRPr="005F1AA3">
              <w:rPr>
                <w:sz w:val="18"/>
                <w:szCs w:val="18"/>
              </w:rPr>
              <w:t>g/L</w:t>
            </w:r>
          </w:p>
        </w:tc>
        <w:tc>
          <w:tcPr>
            <w:tcW w:w="804" w:type="dxa"/>
            <w:vAlign w:val="center"/>
          </w:tcPr>
          <w:p w:rsidR="005F1AA3" w:rsidRPr="005F1AA3" w:rsidRDefault="005F1AA3" w:rsidP="005F1AA3">
            <w:pPr>
              <w:spacing w:line="228" w:lineRule="auto"/>
              <w:jc w:val="center"/>
              <w:rPr>
                <w:sz w:val="18"/>
                <w:szCs w:val="18"/>
              </w:rPr>
            </w:pPr>
            <w:r w:rsidRPr="005F1AA3">
              <w:rPr>
                <w:sz w:val="18"/>
                <w:szCs w:val="18"/>
              </w:rPr>
              <w:t>N/A</w:t>
            </w:r>
          </w:p>
        </w:tc>
        <w:tc>
          <w:tcPr>
            <w:tcW w:w="1160" w:type="dxa"/>
            <w:vAlign w:val="center"/>
          </w:tcPr>
          <w:p w:rsidR="005F1AA3" w:rsidRPr="005F1AA3" w:rsidRDefault="005F1AA3" w:rsidP="005F1AA3">
            <w:pPr>
              <w:spacing w:line="228" w:lineRule="auto"/>
              <w:jc w:val="both"/>
              <w:rPr>
                <w:sz w:val="18"/>
                <w:szCs w:val="18"/>
              </w:rPr>
            </w:pPr>
            <w:r w:rsidRPr="005F1AA3">
              <w:rPr>
                <w:sz w:val="18"/>
                <w:szCs w:val="18"/>
              </w:rPr>
              <w:t>N/A</w:t>
            </w:r>
          </w:p>
        </w:tc>
        <w:tc>
          <w:tcPr>
            <w:tcW w:w="2318" w:type="dxa"/>
            <w:vAlign w:val="center"/>
          </w:tcPr>
          <w:p w:rsidR="005F1AA3" w:rsidRPr="005F1AA3" w:rsidRDefault="005F1AA3" w:rsidP="005F1AA3">
            <w:pPr>
              <w:rPr>
                <w:sz w:val="18"/>
                <w:szCs w:val="18"/>
              </w:rPr>
            </w:pPr>
            <w:r w:rsidRPr="005F1AA3">
              <w:rPr>
                <w:sz w:val="18"/>
                <w:szCs w:val="18"/>
              </w:rPr>
              <w:t>Erosion of natural deposits; Atmospheric deposition.</w:t>
            </w:r>
          </w:p>
        </w:tc>
      </w:tr>
      <w:tr w:rsidR="005F1AA3" w:rsidRPr="005F1AA3" w:rsidTr="001924D7">
        <w:trPr>
          <w:trHeight w:val="746"/>
          <w:jc w:val="center"/>
        </w:trPr>
        <w:tc>
          <w:tcPr>
            <w:tcW w:w="1427" w:type="dxa"/>
            <w:vAlign w:val="center"/>
          </w:tcPr>
          <w:p w:rsidR="005F1AA3" w:rsidRPr="005F1AA3" w:rsidRDefault="005F1AA3" w:rsidP="005F1AA3">
            <w:pPr>
              <w:jc w:val="both"/>
              <w:rPr>
                <w:sz w:val="18"/>
                <w:szCs w:val="18"/>
              </w:rPr>
            </w:pPr>
            <w:r w:rsidRPr="005F1AA3">
              <w:rPr>
                <w:sz w:val="18"/>
                <w:szCs w:val="18"/>
              </w:rPr>
              <w:t>Nitrate</w:t>
            </w:r>
          </w:p>
        </w:tc>
        <w:tc>
          <w:tcPr>
            <w:tcW w:w="982" w:type="dxa"/>
            <w:vAlign w:val="center"/>
          </w:tcPr>
          <w:p w:rsidR="005F1AA3" w:rsidRPr="005F1AA3" w:rsidRDefault="005F1AA3" w:rsidP="005F1AA3">
            <w:pPr>
              <w:jc w:val="center"/>
              <w:rPr>
                <w:sz w:val="18"/>
                <w:szCs w:val="18"/>
              </w:rPr>
            </w:pPr>
            <w:r w:rsidRPr="005F1AA3">
              <w:rPr>
                <w:sz w:val="18"/>
                <w:szCs w:val="18"/>
              </w:rPr>
              <w:t>No</w:t>
            </w:r>
          </w:p>
        </w:tc>
        <w:tc>
          <w:tcPr>
            <w:tcW w:w="804" w:type="dxa"/>
            <w:vAlign w:val="center"/>
          </w:tcPr>
          <w:p w:rsidR="005F1AA3" w:rsidRPr="005F1AA3" w:rsidRDefault="005F1AA3" w:rsidP="005F1AA3">
            <w:pPr>
              <w:jc w:val="center"/>
              <w:rPr>
                <w:sz w:val="18"/>
                <w:szCs w:val="18"/>
              </w:rPr>
            </w:pPr>
            <w:r w:rsidRPr="005F1AA3">
              <w:rPr>
                <w:sz w:val="18"/>
                <w:szCs w:val="18"/>
              </w:rPr>
              <w:t>10/14</w:t>
            </w:r>
          </w:p>
        </w:tc>
        <w:tc>
          <w:tcPr>
            <w:tcW w:w="1338" w:type="dxa"/>
            <w:vAlign w:val="center"/>
          </w:tcPr>
          <w:p w:rsidR="005F1AA3" w:rsidRPr="005F1AA3" w:rsidRDefault="005F1AA3" w:rsidP="005F1AA3">
            <w:pPr>
              <w:jc w:val="center"/>
              <w:rPr>
                <w:sz w:val="18"/>
                <w:szCs w:val="18"/>
              </w:rPr>
            </w:pPr>
            <w:r w:rsidRPr="005F1AA3">
              <w:rPr>
                <w:sz w:val="18"/>
                <w:szCs w:val="18"/>
              </w:rPr>
              <w:t>0.087</w:t>
            </w:r>
          </w:p>
        </w:tc>
        <w:tc>
          <w:tcPr>
            <w:tcW w:w="1338" w:type="dxa"/>
            <w:vAlign w:val="center"/>
          </w:tcPr>
          <w:p w:rsidR="005F1AA3" w:rsidRPr="005F1AA3" w:rsidRDefault="005F1AA3" w:rsidP="005F1AA3">
            <w:pPr>
              <w:jc w:val="center"/>
              <w:rPr>
                <w:sz w:val="18"/>
                <w:szCs w:val="18"/>
              </w:rPr>
            </w:pPr>
            <w:r w:rsidRPr="005F1AA3">
              <w:rPr>
                <w:sz w:val="18"/>
                <w:szCs w:val="18"/>
              </w:rPr>
              <w:t>mg/L</w:t>
            </w:r>
          </w:p>
        </w:tc>
        <w:tc>
          <w:tcPr>
            <w:tcW w:w="804" w:type="dxa"/>
            <w:vAlign w:val="center"/>
          </w:tcPr>
          <w:p w:rsidR="005F1AA3" w:rsidRPr="005F1AA3" w:rsidRDefault="005F1AA3" w:rsidP="005F1AA3">
            <w:pPr>
              <w:jc w:val="center"/>
              <w:rPr>
                <w:sz w:val="18"/>
                <w:szCs w:val="18"/>
              </w:rPr>
            </w:pPr>
            <w:r w:rsidRPr="005F1AA3">
              <w:rPr>
                <w:sz w:val="18"/>
                <w:szCs w:val="18"/>
              </w:rPr>
              <w:t>10.0</w:t>
            </w:r>
          </w:p>
        </w:tc>
        <w:tc>
          <w:tcPr>
            <w:tcW w:w="1160" w:type="dxa"/>
            <w:vAlign w:val="center"/>
          </w:tcPr>
          <w:p w:rsidR="005F1AA3" w:rsidRPr="005F1AA3" w:rsidRDefault="005F1AA3" w:rsidP="005F1AA3">
            <w:pPr>
              <w:jc w:val="both"/>
              <w:rPr>
                <w:sz w:val="18"/>
                <w:szCs w:val="18"/>
              </w:rPr>
            </w:pPr>
            <w:r w:rsidRPr="005F1AA3">
              <w:rPr>
                <w:sz w:val="18"/>
                <w:szCs w:val="18"/>
              </w:rPr>
              <w:t>MCL=10.0</w:t>
            </w:r>
          </w:p>
        </w:tc>
        <w:tc>
          <w:tcPr>
            <w:tcW w:w="2318" w:type="dxa"/>
            <w:vAlign w:val="center"/>
          </w:tcPr>
          <w:p w:rsidR="005F1AA3" w:rsidRPr="005F1AA3" w:rsidRDefault="005F1AA3" w:rsidP="005F1AA3">
            <w:pPr>
              <w:rPr>
                <w:sz w:val="18"/>
                <w:szCs w:val="18"/>
              </w:rPr>
            </w:pPr>
            <w:r w:rsidRPr="005F1AA3">
              <w:rPr>
                <w:sz w:val="18"/>
                <w:szCs w:val="18"/>
              </w:rPr>
              <w:t>Erosion of natural deposits. Atmospheric deposition</w:t>
            </w:r>
          </w:p>
        </w:tc>
      </w:tr>
      <w:tr w:rsidR="005F1AA3" w:rsidRPr="005F1AA3" w:rsidTr="001924D7">
        <w:trPr>
          <w:trHeight w:val="746"/>
          <w:jc w:val="center"/>
        </w:trPr>
        <w:tc>
          <w:tcPr>
            <w:tcW w:w="1427" w:type="dxa"/>
            <w:vAlign w:val="center"/>
          </w:tcPr>
          <w:p w:rsidR="005F1AA3" w:rsidRPr="005F1AA3" w:rsidRDefault="005F1AA3" w:rsidP="005F1AA3">
            <w:pPr>
              <w:jc w:val="both"/>
              <w:rPr>
                <w:sz w:val="18"/>
                <w:szCs w:val="18"/>
              </w:rPr>
            </w:pPr>
            <w:r w:rsidRPr="005F1AA3">
              <w:rPr>
                <w:sz w:val="18"/>
                <w:szCs w:val="18"/>
              </w:rPr>
              <w:t>Sodium</w:t>
            </w:r>
          </w:p>
        </w:tc>
        <w:tc>
          <w:tcPr>
            <w:tcW w:w="982" w:type="dxa"/>
            <w:vAlign w:val="center"/>
          </w:tcPr>
          <w:p w:rsidR="005F1AA3" w:rsidRPr="005F1AA3" w:rsidRDefault="005F1AA3" w:rsidP="005F1AA3">
            <w:pPr>
              <w:jc w:val="center"/>
              <w:rPr>
                <w:sz w:val="18"/>
                <w:szCs w:val="18"/>
              </w:rPr>
            </w:pPr>
            <w:r w:rsidRPr="005F1AA3">
              <w:rPr>
                <w:sz w:val="18"/>
                <w:szCs w:val="18"/>
              </w:rPr>
              <w:t>No</w:t>
            </w:r>
          </w:p>
        </w:tc>
        <w:tc>
          <w:tcPr>
            <w:tcW w:w="804" w:type="dxa"/>
            <w:vAlign w:val="center"/>
          </w:tcPr>
          <w:p w:rsidR="005F1AA3" w:rsidRPr="005F1AA3" w:rsidRDefault="005F1AA3" w:rsidP="005F1AA3">
            <w:pPr>
              <w:jc w:val="center"/>
              <w:rPr>
                <w:sz w:val="18"/>
                <w:szCs w:val="18"/>
              </w:rPr>
            </w:pPr>
            <w:r w:rsidRPr="005F1AA3">
              <w:rPr>
                <w:sz w:val="18"/>
                <w:szCs w:val="18"/>
              </w:rPr>
              <w:t>9/13</w:t>
            </w:r>
          </w:p>
        </w:tc>
        <w:tc>
          <w:tcPr>
            <w:tcW w:w="1338" w:type="dxa"/>
            <w:vAlign w:val="center"/>
          </w:tcPr>
          <w:p w:rsidR="005F1AA3" w:rsidRPr="005F1AA3" w:rsidRDefault="005F1AA3" w:rsidP="005F1AA3">
            <w:pPr>
              <w:jc w:val="center"/>
              <w:rPr>
                <w:sz w:val="18"/>
                <w:szCs w:val="18"/>
              </w:rPr>
            </w:pPr>
            <w:r w:rsidRPr="005F1AA3">
              <w:rPr>
                <w:sz w:val="18"/>
                <w:szCs w:val="18"/>
              </w:rPr>
              <w:t>10.5</w:t>
            </w:r>
          </w:p>
        </w:tc>
        <w:tc>
          <w:tcPr>
            <w:tcW w:w="1338" w:type="dxa"/>
            <w:vAlign w:val="center"/>
          </w:tcPr>
          <w:p w:rsidR="005F1AA3" w:rsidRPr="005F1AA3" w:rsidRDefault="005F1AA3" w:rsidP="005F1AA3">
            <w:pPr>
              <w:jc w:val="center"/>
              <w:rPr>
                <w:sz w:val="18"/>
                <w:szCs w:val="18"/>
              </w:rPr>
            </w:pPr>
            <w:r w:rsidRPr="005F1AA3">
              <w:rPr>
                <w:sz w:val="18"/>
                <w:szCs w:val="18"/>
              </w:rPr>
              <w:t>mg/L</w:t>
            </w:r>
          </w:p>
        </w:tc>
        <w:tc>
          <w:tcPr>
            <w:tcW w:w="804" w:type="dxa"/>
            <w:vAlign w:val="center"/>
          </w:tcPr>
          <w:p w:rsidR="005F1AA3" w:rsidRPr="005F1AA3" w:rsidRDefault="005F1AA3" w:rsidP="005F1AA3">
            <w:pPr>
              <w:jc w:val="center"/>
              <w:rPr>
                <w:sz w:val="18"/>
                <w:szCs w:val="18"/>
              </w:rPr>
            </w:pPr>
            <w:r w:rsidRPr="005F1AA3">
              <w:rPr>
                <w:sz w:val="18"/>
                <w:szCs w:val="18"/>
              </w:rPr>
              <w:t>N/A</w:t>
            </w:r>
          </w:p>
        </w:tc>
        <w:tc>
          <w:tcPr>
            <w:tcW w:w="1160" w:type="dxa"/>
            <w:vAlign w:val="center"/>
          </w:tcPr>
          <w:p w:rsidR="005F1AA3" w:rsidRPr="005F1AA3" w:rsidRDefault="005F1AA3" w:rsidP="005F1AA3">
            <w:pPr>
              <w:jc w:val="both"/>
              <w:rPr>
                <w:sz w:val="18"/>
                <w:szCs w:val="18"/>
              </w:rPr>
            </w:pPr>
            <w:r w:rsidRPr="005F1AA3">
              <w:rPr>
                <w:sz w:val="18"/>
                <w:szCs w:val="18"/>
              </w:rPr>
              <w:t>AL=20</w:t>
            </w:r>
          </w:p>
        </w:tc>
        <w:tc>
          <w:tcPr>
            <w:tcW w:w="2318" w:type="dxa"/>
            <w:vAlign w:val="center"/>
          </w:tcPr>
          <w:p w:rsidR="005F1AA3" w:rsidRPr="005F1AA3" w:rsidRDefault="005F1AA3" w:rsidP="005F1AA3">
            <w:pPr>
              <w:rPr>
                <w:sz w:val="18"/>
                <w:szCs w:val="18"/>
              </w:rPr>
            </w:pPr>
            <w:r w:rsidRPr="005F1AA3">
              <w:rPr>
                <w:sz w:val="18"/>
                <w:szCs w:val="18"/>
              </w:rPr>
              <w:t>Erosion of natural deposits. Use of road salt, discharges from water softeners.</w:t>
            </w:r>
          </w:p>
        </w:tc>
      </w:tr>
      <w:tr w:rsidR="005F1AA3" w:rsidRPr="005F1AA3" w:rsidTr="001924D7">
        <w:trPr>
          <w:trHeight w:val="710"/>
          <w:jc w:val="center"/>
        </w:trPr>
        <w:tc>
          <w:tcPr>
            <w:tcW w:w="1427" w:type="dxa"/>
            <w:vAlign w:val="center"/>
          </w:tcPr>
          <w:p w:rsidR="005F1AA3" w:rsidRPr="005F1AA3" w:rsidRDefault="005F1AA3" w:rsidP="005F1AA3">
            <w:pPr>
              <w:rPr>
                <w:sz w:val="18"/>
                <w:szCs w:val="18"/>
              </w:rPr>
            </w:pPr>
            <w:r w:rsidRPr="005F1AA3">
              <w:rPr>
                <w:sz w:val="18"/>
                <w:szCs w:val="18"/>
              </w:rPr>
              <w:t>Entry Point Chlorine Residual</w:t>
            </w:r>
          </w:p>
        </w:tc>
        <w:tc>
          <w:tcPr>
            <w:tcW w:w="982" w:type="dxa"/>
            <w:vAlign w:val="center"/>
          </w:tcPr>
          <w:p w:rsidR="005F1AA3" w:rsidRPr="005F1AA3" w:rsidRDefault="005F1AA3" w:rsidP="005F1AA3">
            <w:pPr>
              <w:jc w:val="center"/>
              <w:rPr>
                <w:sz w:val="18"/>
                <w:szCs w:val="18"/>
              </w:rPr>
            </w:pPr>
            <w:r w:rsidRPr="005F1AA3">
              <w:rPr>
                <w:sz w:val="18"/>
                <w:szCs w:val="18"/>
              </w:rPr>
              <w:t>No</w:t>
            </w:r>
          </w:p>
        </w:tc>
        <w:tc>
          <w:tcPr>
            <w:tcW w:w="804" w:type="dxa"/>
            <w:vAlign w:val="center"/>
          </w:tcPr>
          <w:p w:rsidR="005F1AA3" w:rsidRPr="005F1AA3" w:rsidRDefault="005F1AA3" w:rsidP="005F1AA3">
            <w:pPr>
              <w:jc w:val="center"/>
              <w:rPr>
                <w:sz w:val="18"/>
                <w:szCs w:val="18"/>
              </w:rPr>
            </w:pPr>
            <w:r w:rsidRPr="005F1AA3">
              <w:rPr>
                <w:sz w:val="18"/>
                <w:szCs w:val="18"/>
              </w:rPr>
              <w:t>1/14 -</w:t>
            </w:r>
          </w:p>
          <w:p w:rsidR="005F1AA3" w:rsidRPr="005F1AA3" w:rsidRDefault="005F1AA3" w:rsidP="005F1AA3">
            <w:pPr>
              <w:jc w:val="center"/>
              <w:rPr>
                <w:sz w:val="18"/>
                <w:szCs w:val="18"/>
              </w:rPr>
            </w:pPr>
            <w:r w:rsidRPr="005F1AA3">
              <w:rPr>
                <w:sz w:val="18"/>
                <w:szCs w:val="18"/>
              </w:rPr>
              <w:t>12/14</w:t>
            </w:r>
          </w:p>
        </w:tc>
        <w:tc>
          <w:tcPr>
            <w:tcW w:w="1338" w:type="dxa"/>
            <w:vAlign w:val="center"/>
          </w:tcPr>
          <w:p w:rsidR="005F1AA3" w:rsidRPr="005F1AA3" w:rsidRDefault="005F1AA3" w:rsidP="005F1AA3">
            <w:pPr>
              <w:jc w:val="center"/>
              <w:rPr>
                <w:sz w:val="18"/>
                <w:szCs w:val="18"/>
              </w:rPr>
            </w:pPr>
            <w:r w:rsidRPr="005F1AA3">
              <w:rPr>
                <w:sz w:val="18"/>
                <w:szCs w:val="18"/>
              </w:rPr>
              <w:t>1.15</w:t>
            </w:r>
          </w:p>
          <w:p w:rsidR="005F1AA3" w:rsidRPr="005F1AA3" w:rsidRDefault="005F1AA3" w:rsidP="005F1AA3">
            <w:pPr>
              <w:jc w:val="center"/>
              <w:rPr>
                <w:sz w:val="18"/>
                <w:szCs w:val="18"/>
              </w:rPr>
            </w:pPr>
            <w:r w:rsidRPr="005F1AA3">
              <w:rPr>
                <w:sz w:val="18"/>
                <w:szCs w:val="18"/>
              </w:rPr>
              <w:t>(1.0 – 1.5)</w:t>
            </w:r>
          </w:p>
        </w:tc>
        <w:tc>
          <w:tcPr>
            <w:tcW w:w="1338" w:type="dxa"/>
            <w:vAlign w:val="center"/>
          </w:tcPr>
          <w:p w:rsidR="005F1AA3" w:rsidRPr="005F1AA3" w:rsidRDefault="005F1AA3" w:rsidP="005F1AA3">
            <w:pPr>
              <w:spacing w:line="228" w:lineRule="auto"/>
              <w:jc w:val="center"/>
              <w:rPr>
                <w:sz w:val="18"/>
                <w:szCs w:val="18"/>
              </w:rPr>
            </w:pPr>
            <w:r w:rsidRPr="005F1AA3">
              <w:rPr>
                <w:sz w:val="18"/>
              </w:rPr>
              <w:t>m</w:t>
            </w:r>
            <w:r w:rsidRPr="005F1AA3">
              <w:rPr>
                <w:sz w:val="18"/>
                <w:szCs w:val="18"/>
              </w:rPr>
              <w:t>g/L</w:t>
            </w:r>
          </w:p>
        </w:tc>
        <w:tc>
          <w:tcPr>
            <w:tcW w:w="804" w:type="dxa"/>
            <w:vAlign w:val="center"/>
          </w:tcPr>
          <w:p w:rsidR="005F1AA3" w:rsidRPr="005F1AA3" w:rsidRDefault="005F1AA3" w:rsidP="005F1AA3">
            <w:pPr>
              <w:spacing w:line="228" w:lineRule="auto"/>
              <w:jc w:val="center"/>
              <w:rPr>
                <w:sz w:val="18"/>
                <w:szCs w:val="18"/>
              </w:rPr>
            </w:pPr>
            <w:r w:rsidRPr="005F1AA3">
              <w:rPr>
                <w:sz w:val="18"/>
                <w:szCs w:val="18"/>
              </w:rPr>
              <w:t>MRDL</w:t>
            </w:r>
          </w:p>
          <w:p w:rsidR="005F1AA3" w:rsidRPr="005F1AA3" w:rsidRDefault="005F1AA3" w:rsidP="005F1AA3">
            <w:pPr>
              <w:spacing w:line="228" w:lineRule="auto"/>
              <w:jc w:val="center"/>
              <w:rPr>
                <w:sz w:val="18"/>
                <w:szCs w:val="18"/>
              </w:rPr>
            </w:pPr>
            <w:r w:rsidRPr="005F1AA3">
              <w:rPr>
                <w:sz w:val="18"/>
                <w:szCs w:val="18"/>
              </w:rPr>
              <w:t>4.0</w:t>
            </w:r>
          </w:p>
        </w:tc>
        <w:tc>
          <w:tcPr>
            <w:tcW w:w="1160" w:type="dxa"/>
            <w:vAlign w:val="center"/>
          </w:tcPr>
          <w:p w:rsidR="005F1AA3" w:rsidRPr="005F1AA3" w:rsidRDefault="005F1AA3" w:rsidP="005F1AA3">
            <w:pPr>
              <w:spacing w:line="228" w:lineRule="auto"/>
              <w:jc w:val="both"/>
              <w:rPr>
                <w:sz w:val="18"/>
                <w:szCs w:val="18"/>
              </w:rPr>
            </w:pPr>
            <w:r w:rsidRPr="005F1AA3">
              <w:rPr>
                <w:sz w:val="18"/>
                <w:szCs w:val="18"/>
              </w:rPr>
              <w:t>MRDLG</w:t>
            </w:r>
          </w:p>
          <w:p w:rsidR="005F1AA3" w:rsidRPr="005F1AA3" w:rsidRDefault="005F1AA3" w:rsidP="005F1AA3">
            <w:pPr>
              <w:spacing w:line="228" w:lineRule="auto"/>
              <w:jc w:val="both"/>
              <w:rPr>
                <w:sz w:val="18"/>
                <w:szCs w:val="18"/>
              </w:rPr>
            </w:pPr>
            <w:r w:rsidRPr="005F1AA3">
              <w:rPr>
                <w:sz w:val="18"/>
                <w:szCs w:val="18"/>
              </w:rPr>
              <w:t>4.0</w:t>
            </w:r>
          </w:p>
        </w:tc>
        <w:tc>
          <w:tcPr>
            <w:tcW w:w="2318" w:type="dxa"/>
            <w:vAlign w:val="center"/>
          </w:tcPr>
          <w:p w:rsidR="005F1AA3" w:rsidRPr="005F1AA3" w:rsidRDefault="005F1AA3" w:rsidP="005F1AA3">
            <w:pPr>
              <w:jc w:val="both"/>
              <w:rPr>
                <w:sz w:val="18"/>
                <w:szCs w:val="18"/>
              </w:rPr>
            </w:pPr>
            <w:r w:rsidRPr="005F1AA3">
              <w:rPr>
                <w:sz w:val="18"/>
                <w:szCs w:val="18"/>
              </w:rPr>
              <w:t>Added for disinfection.</w:t>
            </w:r>
          </w:p>
        </w:tc>
      </w:tr>
      <w:tr w:rsidR="005F1AA3" w:rsidRPr="005F1AA3" w:rsidTr="001924D7">
        <w:trPr>
          <w:trHeight w:val="800"/>
          <w:jc w:val="center"/>
        </w:trPr>
        <w:tc>
          <w:tcPr>
            <w:tcW w:w="1427" w:type="dxa"/>
            <w:vAlign w:val="center"/>
          </w:tcPr>
          <w:p w:rsidR="005F1AA3" w:rsidRPr="005F1AA3" w:rsidRDefault="005F1AA3" w:rsidP="005F1AA3">
            <w:pPr>
              <w:rPr>
                <w:sz w:val="18"/>
                <w:szCs w:val="18"/>
              </w:rPr>
            </w:pPr>
            <w:r w:rsidRPr="005F1AA3">
              <w:rPr>
                <w:sz w:val="18"/>
                <w:szCs w:val="18"/>
              </w:rPr>
              <w:t>Entry Point</w:t>
            </w:r>
            <w:r w:rsidRPr="005F1AA3">
              <w:rPr>
                <w:sz w:val="18"/>
                <w:szCs w:val="18"/>
                <w:vertAlign w:val="superscript"/>
              </w:rPr>
              <w:t>2</w:t>
            </w:r>
          </w:p>
          <w:p w:rsidR="005F1AA3" w:rsidRPr="005F1AA3" w:rsidRDefault="005F1AA3" w:rsidP="005F1AA3">
            <w:pPr>
              <w:rPr>
                <w:sz w:val="18"/>
                <w:szCs w:val="18"/>
              </w:rPr>
            </w:pPr>
            <w:r w:rsidRPr="005F1AA3">
              <w:rPr>
                <w:sz w:val="18"/>
                <w:szCs w:val="18"/>
              </w:rPr>
              <w:t>Turbidity</w:t>
            </w:r>
          </w:p>
        </w:tc>
        <w:tc>
          <w:tcPr>
            <w:tcW w:w="982" w:type="dxa"/>
            <w:vAlign w:val="center"/>
          </w:tcPr>
          <w:p w:rsidR="005F1AA3" w:rsidRPr="005F1AA3" w:rsidRDefault="005F1AA3" w:rsidP="005F1AA3">
            <w:pPr>
              <w:jc w:val="center"/>
              <w:rPr>
                <w:sz w:val="18"/>
                <w:szCs w:val="18"/>
              </w:rPr>
            </w:pPr>
            <w:r w:rsidRPr="005F1AA3">
              <w:rPr>
                <w:sz w:val="18"/>
                <w:szCs w:val="18"/>
              </w:rPr>
              <w:t>No</w:t>
            </w:r>
          </w:p>
        </w:tc>
        <w:tc>
          <w:tcPr>
            <w:tcW w:w="804" w:type="dxa"/>
            <w:vAlign w:val="center"/>
          </w:tcPr>
          <w:p w:rsidR="005F1AA3" w:rsidRPr="005F1AA3" w:rsidRDefault="005F1AA3" w:rsidP="005F1AA3">
            <w:pPr>
              <w:jc w:val="center"/>
              <w:rPr>
                <w:sz w:val="18"/>
                <w:szCs w:val="18"/>
              </w:rPr>
            </w:pPr>
            <w:r w:rsidRPr="005F1AA3">
              <w:rPr>
                <w:sz w:val="18"/>
                <w:szCs w:val="18"/>
              </w:rPr>
              <w:t>1/14 -</w:t>
            </w:r>
          </w:p>
          <w:p w:rsidR="005F1AA3" w:rsidRPr="005F1AA3" w:rsidRDefault="005F1AA3" w:rsidP="005F1AA3">
            <w:pPr>
              <w:jc w:val="center"/>
              <w:rPr>
                <w:sz w:val="18"/>
                <w:szCs w:val="18"/>
              </w:rPr>
            </w:pPr>
            <w:r w:rsidRPr="005F1AA3">
              <w:rPr>
                <w:sz w:val="18"/>
                <w:szCs w:val="18"/>
              </w:rPr>
              <w:t>12/14</w:t>
            </w:r>
          </w:p>
        </w:tc>
        <w:tc>
          <w:tcPr>
            <w:tcW w:w="1338" w:type="dxa"/>
            <w:vAlign w:val="center"/>
          </w:tcPr>
          <w:p w:rsidR="005F1AA3" w:rsidRPr="005F1AA3" w:rsidRDefault="005F1AA3" w:rsidP="005F1AA3">
            <w:pPr>
              <w:jc w:val="center"/>
              <w:rPr>
                <w:sz w:val="18"/>
                <w:szCs w:val="18"/>
              </w:rPr>
            </w:pPr>
            <w:r w:rsidRPr="005F1AA3">
              <w:rPr>
                <w:sz w:val="18"/>
                <w:szCs w:val="18"/>
              </w:rPr>
              <w:t>0.03</w:t>
            </w:r>
          </w:p>
          <w:p w:rsidR="005F1AA3" w:rsidRPr="005F1AA3" w:rsidRDefault="005F1AA3" w:rsidP="005F1AA3">
            <w:pPr>
              <w:jc w:val="center"/>
              <w:rPr>
                <w:sz w:val="18"/>
                <w:szCs w:val="18"/>
              </w:rPr>
            </w:pPr>
            <w:r w:rsidRPr="005F1AA3">
              <w:rPr>
                <w:sz w:val="18"/>
                <w:szCs w:val="18"/>
              </w:rPr>
              <w:t>(0.02 – 0.05)</w:t>
            </w:r>
          </w:p>
        </w:tc>
        <w:tc>
          <w:tcPr>
            <w:tcW w:w="1338" w:type="dxa"/>
            <w:vAlign w:val="center"/>
          </w:tcPr>
          <w:p w:rsidR="005F1AA3" w:rsidRPr="005F1AA3" w:rsidRDefault="005F1AA3" w:rsidP="005F1AA3">
            <w:pPr>
              <w:jc w:val="center"/>
              <w:rPr>
                <w:sz w:val="18"/>
                <w:szCs w:val="18"/>
              </w:rPr>
            </w:pPr>
            <w:r w:rsidRPr="005F1AA3">
              <w:rPr>
                <w:sz w:val="18"/>
                <w:szCs w:val="18"/>
              </w:rPr>
              <w:t>NTU</w:t>
            </w:r>
          </w:p>
        </w:tc>
        <w:tc>
          <w:tcPr>
            <w:tcW w:w="804" w:type="dxa"/>
            <w:vAlign w:val="center"/>
          </w:tcPr>
          <w:p w:rsidR="005F1AA3" w:rsidRPr="005F1AA3" w:rsidRDefault="005F1AA3" w:rsidP="005F1AA3">
            <w:pPr>
              <w:jc w:val="center"/>
              <w:rPr>
                <w:sz w:val="18"/>
                <w:szCs w:val="18"/>
              </w:rPr>
            </w:pPr>
            <w:r w:rsidRPr="005F1AA3">
              <w:rPr>
                <w:sz w:val="18"/>
                <w:szCs w:val="18"/>
              </w:rPr>
              <w:t>N/A</w:t>
            </w:r>
          </w:p>
        </w:tc>
        <w:tc>
          <w:tcPr>
            <w:tcW w:w="1160" w:type="dxa"/>
            <w:vAlign w:val="center"/>
          </w:tcPr>
          <w:p w:rsidR="005F1AA3" w:rsidRPr="005F1AA3" w:rsidRDefault="005F1AA3" w:rsidP="005F1AA3">
            <w:pPr>
              <w:jc w:val="both"/>
              <w:rPr>
                <w:sz w:val="18"/>
                <w:szCs w:val="18"/>
              </w:rPr>
            </w:pPr>
            <w:r w:rsidRPr="005F1AA3">
              <w:rPr>
                <w:sz w:val="18"/>
                <w:szCs w:val="18"/>
              </w:rPr>
              <w:t>0.3 NTU</w:t>
            </w:r>
          </w:p>
        </w:tc>
        <w:tc>
          <w:tcPr>
            <w:tcW w:w="2318" w:type="dxa"/>
            <w:vAlign w:val="center"/>
          </w:tcPr>
          <w:p w:rsidR="005F1AA3" w:rsidRPr="005F1AA3" w:rsidRDefault="005F1AA3" w:rsidP="005F1AA3">
            <w:pPr>
              <w:jc w:val="both"/>
              <w:rPr>
                <w:sz w:val="18"/>
                <w:szCs w:val="18"/>
              </w:rPr>
            </w:pPr>
            <w:r w:rsidRPr="005F1AA3">
              <w:rPr>
                <w:sz w:val="18"/>
                <w:szCs w:val="18"/>
              </w:rPr>
              <w:t>Soil runoff</w:t>
            </w:r>
          </w:p>
        </w:tc>
      </w:tr>
      <w:tr w:rsidR="005F1AA3" w:rsidRPr="005F1AA3" w:rsidTr="001924D7">
        <w:trPr>
          <w:trHeight w:val="800"/>
          <w:jc w:val="center"/>
        </w:trPr>
        <w:tc>
          <w:tcPr>
            <w:tcW w:w="1427" w:type="dxa"/>
            <w:vAlign w:val="center"/>
          </w:tcPr>
          <w:p w:rsidR="005F1AA3" w:rsidRPr="005F1AA3" w:rsidRDefault="005F1AA3" w:rsidP="005F1AA3">
            <w:pPr>
              <w:rPr>
                <w:sz w:val="18"/>
                <w:szCs w:val="18"/>
                <w:vertAlign w:val="superscript"/>
              </w:rPr>
            </w:pPr>
            <w:r w:rsidRPr="005F1AA3">
              <w:rPr>
                <w:sz w:val="18"/>
                <w:szCs w:val="18"/>
              </w:rPr>
              <w:t>Entry Point</w:t>
            </w:r>
            <w:r w:rsidRPr="005F1AA3">
              <w:rPr>
                <w:sz w:val="18"/>
                <w:szCs w:val="18"/>
                <w:vertAlign w:val="superscript"/>
              </w:rPr>
              <w:t>2</w:t>
            </w:r>
          </w:p>
          <w:p w:rsidR="005F1AA3" w:rsidRPr="005F1AA3" w:rsidRDefault="005F1AA3" w:rsidP="005F1AA3">
            <w:pPr>
              <w:rPr>
                <w:sz w:val="18"/>
                <w:szCs w:val="18"/>
              </w:rPr>
            </w:pPr>
            <w:r w:rsidRPr="005F1AA3">
              <w:rPr>
                <w:sz w:val="18"/>
                <w:szCs w:val="18"/>
              </w:rPr>
              <w:t>Turbidity</w:t>
            </w:r>
          </w:p>
        </w:tc>
        <w:tc>
          <w:tcPr>
            <w:tcW w:w="982" w:type="dxa"/>
            <w:vAlign w:val="center"/>
          </w:tcPr>
          <w:p w:rsidR="005F1AA3" w:rsidRPr="005F1AA3" w:rsidRDefault="005F1AA3" w:rsidP="005F1AA3">
            <w:pPr>
              <w:jc w:val="center"/>
              <w:rPr>
                <w:sz w:val="18"/>
                <w:szCs w:val="18"/>
              </w:rPr>
            </w:pPr>
            <w:r w:rsidRPr="005F1AA3">
              <w:rPr>
                <w:sz w:val="18"/>
                <w:szCs w:val="18"/>
              </w:rPr>
              <w:t>No</w:t>
            </w:r>
          </w:p>
        </w:tc>
        <w:tc>
          <w:tcPr>
            <w:tcW w:w="804" w:type="dxa"/>
            <w:vAlign w:val="center"/>
          </w:tcPr>
          <w:p w:rsidR="005F1AA3" w:rsidRPr="005F1AA3" w:rsidRDefault="005F1AA3" w:rsidP="005F1AA3">
            <w:pPr>
              <w:jc w:val="center"/>
              <w:rPr>
                <w:sz w:val="18"/>
                <w:szCs w:val="18"/>
              </w:rPr>
            </w:pPr>
            <w:r w:rsidRPr="005F1AA3">
              <w:rPr>
                <w:sz w:val="18"/>
                <w:szCs w:val="18"/>
              </w:rPr>
              <w:t>1/14 -</w:t>
            </w:r>
          </w:p>
          <w:p w:rsidR="005F1AA3" w:rsidRPr="005F1AA3" w:rsidRDefault="005F1AA3" w:rsidP="005F1AA3">
            <w:pPr>
              <w:jc w:val="center"/>
              <w:rPr>
                <w:sz w:val="18"/>
                <w:szCs w:val="18"/>
              </w:rPr>
            </w:pPr>
            <w:r w:rsidRPr="005F1AA3">
              <w:rPr>
                <w:sz w:val="18"/>
                <w:szCs w:val="18"/>
              </w:rPr>
              <w:t>12/14</w:t>
            </w:r>
          </w:p>
        </w:tc>
        <w:tc>
          <w:tcPr>
            <w:tcW w:w="1338" w:type="dxa"/>
            <w:vAlign w:val="center"/>
          </w:tcPr>
          <w:p w:rsidR="005F1AA3" w:rsidRPr="005F1AA3" w:rsidRDefault="005F1AA3" w:rsidP="005F1AA3">
            <w:pPr>
              <w:ind w:left="-18"/>
              <w:jc w:val="center"/>
              <w:rPr>
                <w:sz w:val="18"/>
                <w:szCs w:val="18"/>
              </w:rPr>
            </w:pPr>
            <w:r w:rsidRPr="005F1AA3">
              <w:rPr>
                <w:sz w:val="18"/>
                <w:szCs w:val="18"/>
              </w:rPr>
              <w:t>100% of samples less than 0.3 NTU</w:t>
            </w:r>
          </w:p>
        </w:tc>
        <w:tc>
          <w:tcPr>
            <w:tcW w:w="1338" w:type="dxa"/>
            <w:vAlign w:val="center"/>
          </w:tcPr>
          <w:p w:rsidR="005F1AA3" w:rsidRPr="005F1AA3" w:rsidRDefault="005F1AA3" w:rsidP="005F1AA3">
            <w:pPr>
              <w:jc w:val="center"/>
              <w:rPr>
                <w:sz w:val="18"/>
                <w:szCs w:val="18"/>
              </w:rPr>
            </w:pPr>
            <w:r w:rsidRPr="005F1AA3">
              <w:rPr>
                <w:sz w:val="18"/>
                <w:szCs w:val="18"/>
              </w:rPr>
              <w:t>NTU</w:t>
            </w:r>
          </w:p>
        </w:tc>
        <w:tc>
          <w:tcPr>
            <w:tcW w:w="804" w:type="dxa"/>
            <w:vAlign w:val="center"/>
          </w:tcPr>
          <w:p w:rsidR="005F1AA3" w:rsidRPr="005F1AA3" w:rsidRDefault="005F1AA3" w:rsidP="005F1AA3">
            <w:pPr>
              <w:jc w:val="center"/>
              <w:rPr>
                <w:sz w:val="18"/>
                <w:szCs w:val="18"/>
              </w:rPr>
            </w:pPr>
            <w:r w:rsidRPr="005F1AA3">
              <w:rPr>
                <w:sz w:val="18"/>
                <w:szCs w:val="18"/>
              </w:rPr>
              <w:t>N/A</w:t>
            </w:r>
          </w:p>
        </w:tc>
        <w:tc>
          <w:tcPr>
            <w:tcW w:w="1160" w:type="dxa"/>
            <w:vAlign w:val="center"/>
          </w:tcPr>
          <w:p w:rsidR="005F1AA3" w:rsidRPr="005F1AA3" w:rsidRDefault="005F1AA3" w:rsidP="005F1AA3">
            <w:pPr>
              <w:rPr>
                <w:sz w:val="18"/>
                <w:szCs w:val="18"/>
              </w:rPr>
            </w:pPr>
            <w:r w:rsidRPr="005F1AA3">
              <w:rPr>
                <w:sz w:val="18"/>
                <w:szCs w:val="18"/>
              </w:rPr>
              <w:t>TT=95% of samples &lt; 0.3 NTU</w:t>
            </w:r>
          </w:p>
        </w:tc>
        <w:tc>
          <w:tcPr>
            <w:tcW w:w="2318" w:type="dxa"/>
            <w:vAlign w:val="center"/>
          </w:tcPr>
          <w:p w:rsidR="005F1AA3" w:rsidRPr="005F1AA3" w:rsidRDefault="005F1AA3" w:rsidP="005F1AA3">
            <w:pPr>
              <w:jc w:val="both"/>
              <w:rPr>
                <w:sz w:val="18"/>
                <w:szCs w:val="18"/>
              </w:rPr>
            </w:pPr>
            <w:r w:rsidRPr="005F1AA3">
              <w:rPr>
                <w:sz w:val="18"/>
                <w:szCs w:val="18"/>
              </w:rPr>
              <w:t>Soil runoff</w:t>
            </w:r>
          </w:p>
        </w:tc>
      </w:tr>
      <w:tr w:rsidR="005F1AA3" w:rsidRPr="005F1AA3" w:rsidTr="001924D7">
        <w:trPr>
          <w:trHeight w:val="360"/>
          <w:jc w:val="center"/>
        </w:trPr>
        <w:tc>
          <w:tcPr>
            <w:tcW w:w="10171" w:type="dxa"/>
            <w:gridSpan w:val="8"/>
            <w:vAlign w:val="center"/>
          </w:tcPr>
          <w:p w:rsidR="005F1AA3" w:rsidRPr="005F1AA3" w:rsidRDefault="005F1AA3" w:rsidP="005F1AA3">
            <w:pPr>
              <w:widowControl w:val="0"/>
              <w:suppressAutoHyphens w:val="0"/>
              <w:jc w:val="both"/>
              <w:outlineLvl w:val="4"/>
              <w:rPr>
                <w:sz w:val="18"/>
                <w:highlight w:val="yellow"/>
              </w:rPr>
            </w:pPr>
            <w:r w:rsidRPr="005F1AA3">
              <w:rPr>
                <w:b/>
                <w:sz w:val="22"/>
              </w:rPr>
              <w:t>Radioactive Contaminants</w:t>
            </w:r>
          </w:p>
        </w:tc>
      </w:tr>
      <w:tr w:rsidR="005F1AA3" w:rsidRPr="005F1AA3" w:rsidTr="001924D7">
        <w:trPr>
          <w:trHeight w:val="701"/>
          <w:jc w:val="center"/>
        </w:trPr>
        <w:tc>
          <w:tcPr>
            <w:tcW w:w="1427" w:type="dxa"/>
            <w:vAlign w:val="center"/>
          </w:tcPr>
          <w:p w:rsidR="005F1AA3" w:rsidRPr="005F1AA3" w:rsidRDefault="005F1AA3" w:rsidP="005F1AA3">
            <w:pPr>
              <w:rPr>
                <w:sz w:val="18"/>
                <w:szCs w:val="18"/>
              </w:rPr>
            </w:pPr>
            <w:r w:rsidRPr="005F1AA3">
              <w:rPr>
                <w:sz w:val="18"/>
                <w:szCs w:val="18"/>
              </w:rPr>
              <w:t xml:space="preserve">Gross Alpha Particles </w:t>
            </w:r>
          </w:p>
        </w:tc>
        <w:tc>
          <w:tcPr>
            <w:tcW w:w="982" w:type="dxa"/>
            <w:vAlign w:val="center"/>
          </w:tcPr>
          <w:p w:rsidR="005F1AA3" w:rsidRPr="005F1AA3" w:rsidRDefault="005F1AA3" w:rsidP="005F1AA3">
            <w:pPr>
              <w:keepNext/>
              <w:jc w:val="center"/>
              <w:rPr>
                <w:sz w:val="18"/>
              </w:rPr>
            </w:pPr>
            <w:r w:rsidRPr="005F1AA3">
              <w:rPr>
                <w:sz w:val="18"/>
              </w:rPr>
              <w:t>No</w:t>
            </w:r>
          </w:p>
        </w:tc>
        <w:tc>
          <w:tcPr>
            <w:tcW w:w="804" w:type="dxa"/>
            <w:vAlign w:val="center"/>
          </w:tcPr>
          <w:p w:rsidR="005F1AA3" w:rsidRPr="005F1AA3" w:rsidRDefault="005F1AA3" w:rsidP="005F1AA3">
            <w:pPr>
              <w:keepNext/>
              <w:jc w:val="center"/>
              <w:rPr>
                <w:sz w:val="18"/>
              </w:rPr>
            </w:pPr>
            <w:r w:rsidRPr="005F1AA3">
              <w:rPr>
                <w:sz w:val="18"/>
                <w:szCs w:val="18"/>
              </w:rPr>
              <w:t>3/14</w:t>
            </w:r>
          </w:p>
        </w:tc>
        <w:tc>
          <w:tcPr>
            <w:tcW w:w="1338" w:type="dxa"/>
            <w:vAlign w:val="center"/>
          </w:tcPr>
          <w:p w:rsidR="005F1AA3" w:rsidRPr="005F1AA3" w:rsidRDefault="005F1AA3" w:rsidP="005F1AA3">
            <w:pPr>
              <w:keepNext/>
              <w:jc w:val="center"/>
              <w:rPr>
                <w:sz w:val="18"/>
              </w:rPr>
            </w:pPr>
            <w:r w:rsidRPr="005F1AA3">
              <w:rPr>
                <w:sz w:val="18"/>
              </w:rPr>
              <w:t>0.00</w:t>
            </w:r>
          </w:p>
        </w:tc>
        <w:tc>
          <w:tcPr>
            <w:tcW w:w="1338" w:type="dxa"/>
            <w:vAlign w:val="center"/>
          </w:tcPr>
          <w:p w:rsidR="005F1AA3" w:rsidRPr="005F1AA3" w:rsidRDefault="005F1AA3" w:rsidP="005F1AA3">
            <w:pPr>
              <w:keepNext/>
              <w:jc w:val="center"/>
              <w:rPr>
                <w:sz w:val="18"/>
              </w:rPr>
            </w:pPr>
            <w:r w:rsidRPr="005F1AA3">
              <w:rPr>
                <w:sz w:val="18"/>
              </w:rPr>
              <w:t>pCi/L</w:t>
            </w:r>
          </w:p>
        </w:tc>
        <w:tc>
          <w:tcPr>
            <w:tcW w:w="804" w:type="dxa"/>
            <w:vAlign w:val="center"/>
          </w:tcPr>
          <w:p w:rsidR="005F1AA3" w:rsidRPr="005F1AA3" w:rsidRDefault="005F1AA3" w:rsidP="005F1AA3">
            <w:pPr>
              <w:keepNext/>
              <w:jc w:val="center"/>
              <w:rPr>
                <w:sz w:val="18"/>
              </w:rPr>
            </w:pPr>
            <w:r w:rsidRPr="005F1AA3">
              <w:rPr>
                <w:sz w:val="18"/>
              </w:rPr>
              <w:t>N/A</w:t>
            </w:r>
          </w:p>
        </w:tc>
        <w:tc>
          <w:tcPr>
            <w:tcW w:w="1160" w:type="dxa"/>
            <w:vAlign w:val="center"/>
          </w:tcPr>
          <w:p w:rsidR="005F1AA3" w:rsidRPr="005F1AA3" w:rsidRDefault="005F1AA3" w:rsidP="005F1AA3">
            <w:pPr>
              <w:keepNext/>
              <w:jc w:val="both"/>
              <w:rPr>
                <w:sz w:val="18"/>
              </w:rPr>
            </w:pPr>
            <w:r w:rsidRPr="005F1AA3">
              <w:rPr>
                <w:sz w:val="18"/>
              </w:rPr>
              <w:t>MCL=15</w:t>
            </w:r>
          </w:p>
        </w:tc>
        <w:tc>
          <w:tcPr>
            <w:tcW w:w="2318" w:type="dxa"/>
            <w:vAlign w:val="center"/>
          </w:tcPr>
          <w:p w:rsidR="005F1AA3" w:rsidRPr="005F1AA3" w:rsidRDefault="005F1AA3" w:rsidP="005F1AA3">
            <w:pPr>
              <w:keepNext/>
              <w:rPr>
                <w:sz w:val="18"/>
              </w:rPr>
            </w:pPr>
            <w:r w:rsidRPr="005F1AA3">
              <w:rPr>
                <w:sz w:val="18"/>
              </w:rPr>
              <w:t>Erosion of natural deposits of certain radioactive minerals</w:t>
            </w:r>
          </w:p>
        </w:tc>
      </w:tr>
      <w:tr w:rsidR="005F1AA3" w:rsidRPr="005F1AA3" w:rsidTr="001924D7">
        <w:trPr>
          <w:trHeight w:val="710"/>
          <w:jc w:val="center"/>
        </w:trPr>
        <w:tc>
          <w:tcPr>
            <w:tcW w:w="1427" w:type="dxa"/>
            <w:vAlign w:val="center"/>
          </w:tcPr>
          <w:p w:rsidR="005F1AA3" w:rsidRPr="005F1AA3" w:rsidRDefault="005F1AA3" w:rsidP="005F1AA3">
            <w:pPr>
              <w:jc w:val="both"/>
              <w:rPr>
                <w:sz w:val="18"/>
              </w:rPr>
            </w:pPr>
            <w:r w:rsidRPr="005F1AA3">
              <w:rPr>
                <w:sz w:val="18"/>
              </w:rPr>
              <w:t>Radium 226 and 228 combined</w:t>
            </w:r>
          </w:p>
        </w:tc>
        <w:tc>
          <w:tcPr>
            <w:tcW w:w="982" w:type="dxa"/>
            <w:vAlign w:val="center"/>
          </w:tcPr>
          <w:p w:rsidR="005F1AA3" w:rsidRPr="005F1AA3" w:rsidRDefault="005F1AA3" w:rsidP="005F1AA3">
            <w:pPr>
              <w:jc w:val="center"/>
              <w:rPr>
                <w:sz w:val="18"/>
              </w:rPr>
            </w:pPr>
            <w:r w:rsidRPr="005F1AA3">
              <w:rPr>
                <w:sz w:val="18"/>
              </w:rPr>
              <w:t>No</w:t>
            </w:r>
          </w:p>
        </w:tc>
        <w:tc>
          <w:tcPr>
            <w:tcW w:w="804" w:type="dxa"/>
            <w:vAlign w:val="center"/>
          </w:tcPr>
          <w:p w:rsidR="005F1AA3" w:rsidRPr="005F1AA3" w:rsidRDefault="005F1AA3" w:rsidP="005F1AA3">
            <w:pPr>
              <w:jc w:val="center"/>
              <w:rPr>
                <w:sz w:val="18"/>
              </w:rPr>
            </w:pPr>
            <w:r w:rsidRPr="005F1AA3">
              <w:rPr>
                <w:sz w:val="18"/>
                <w:szCs w:val="18"/>
              </w:rPr>
              <w:t>3/14</w:t>
            </w:r>
          </w:p>
        </w:tc>
        <w:tc>
          <w:tcPr>
            <w:tcW w:w="1338" w:type="dxa"/>
            <w:vAlign w:val="center"/>
          </w:tcPr>
          <w:p w:rsidR="005F1AA3" w:rsidRPr="005F1AA3" w:rsidRDefault="005F1AA3" w:rsidP="005F1AA3">
            <w:pPr>
              <w:jc w:val="center"/>
              <w:rPr>
                <w:sz w:val="18"/>
              </w:rPr>
            </w:pPr>
            <w:r w:rsidRPr="005F1AA3">
              <w:rPr>
                <w:sz w:val="18"/>
              </w:rPr>
              <w:t>0.428</w:t>
            </w:r>
          </w:p>
        </w:tc>
        <w:tc>
          <w:tcPr>
            <w:tcW w:w="1338" w:type="dxa"/>
            <w:vAlign w:val="center"/>
          </w:tcPr>
          <w:p w:rsidR="005F1AA3" w:rsidRPr="005F1AA3" w:rsidRDefault="005F1AA3" w:rsidP="005F1AA3">
            <w:pPr>
              <w:jc w:val="center"/>
              <w:rPr>
                <w:sz w:val="18"/>
              </w:rPr>
            </w:pPr>
            <w:r w:rsidRPr="005F1AA3">
              <w:rPr>
                <w:sz w:val="18"/>
              </w:rPr>
              <w:t>pCi/L</w:t>
            </w:r>
          </w:p>
        </w:tc>
        <w:tc>
          <w:tcPr>
            <w:tcW w:w="804" w:type="dxa"/>
            <w:vAlign w:val="center"/>
          </w:tcPr>
          <w:p w:rsidR="005F1AA3" w:rsidRPr="005F1AA3" w:rsidRDefault="005F1AA3" w:rsidP="005F1AA3">
            <w:pPr>
              <w:jc w:val="center"/>
              <w:rPr>
                <w:sz w:val="18"/>
              </w:rPr>
            </w:pPr>
            <w:r w:rsidRPr="005F1AA3">
              <w:rPr>
                <w:sz w:val="18"/>
              </w:rPr>
              <w:t>N/A</w:t>
            </w:r>
          </w:p>
        </w:tc>
        <w:tc>
          <w:tcPr>
            <w:tcW w:w="1160" w:type="dxa"/>
            <w:vAlign w:val="center"/>
          </w:tcPr>
          <w:p w:rsidR="005F1AA3" w:rsidRPr="005F1AA3" w:rsidRDefault="005F1AA3" w:rsidP="005F1AA3">
            <w:pPr>
              <w:jc w:val="both"/>
              <w:rPr>
                <w:sz w:val="18"/>
              </w:rPr>
            </w:pPr>
            <w:r w:rsidRPr="005F1AA3">
              <w:rPr>
                <w:sz w:val="18"/>
              </w:rPr>
              <w:t>MCL=5</w:t>
            </w:r>
          </w:p>
        </w:tc>
        <w:tc>
          <w:tcPr>
            <w:tcW w:w="2318" w:type="dxa"/>
            <w:vAlign w:val="center"/>
          </w:tcPr>
          <w:p w:rsidR="005F1AA3" w:rsidRPr="005F1AA3" w:rsidRDefault="005F1AA3" w:rsidP="005F1AA3">
            <w:pPr>
              <w:jc w:val="both"/>
              <w:rPr>
                <w:sz w:val="18"/>
              </w:rPr>
            </w:pPr>
            <w:r w:rsidRPr="005F1AA3">
              <w:rPr>
                <w:sz w:val="18"/>
              </w:rPr>
              <w:t>Decay of natural and man-made deposits of certain radioactive minerals.</w:t>
            </w:r>
          </w:p>
        </w:tc>
      </w:tr>
      <w:tr w:rsidR="005F1AA3" w:rsidRPr="005F1AA3" w:rsidTr="001924D7">
        <w:trPr>
          <w:trHeight w:val="710"/>
          <w:jc w:val="center"/>
        </w:trPr>
        <w:tc>
          <w:tcPr>
            <w:tcW w:w="1427" w:type="dxa"/>
            <w:tcBorders>
              <w:bottom w:val="single" w:sz="4" w:space="0" w:color="auto"/>
            </w:tcBorders>
            <w:vAlign w:val="center"/>
          </w:tcPr>
          <w:p w:rsidR="005F1AA3" w:rsidRPr="005F1AA3" w:rsidRDefault="005F1AA3" w:rsidP="005F1AA3">
            <w:pPr>
              <w:jc w:val="both"/>
              <w:rPr>
                <w:sz w:val="18"/>
              </w:rPr>
            </w:pPr>
            <w:r w:rsidRPr="005F1AA3">
              <w:rPr>
                <w:sz w:val="18"/>
              </w:rPr>
              <w:t>Uranium</w:t>
            </w:r>
          </w:p>
        </w:tc>
        <w:tc>
          <w:tcPr>
            <w:tcW w:w="982" w:type="dxa"/>
            <w:tcBorders>
              <w:bottom w:val="single" w:sz="4" w:space="0" w:color="auto"/>
            </w:tcBorders>
            <w:vAlign w:val="center"/>
          </w:tcPr>
          <w:p w:rsidR="005F1AA3" w:rsidRPr="005F1AA3" w:rsidRDefault="005F1AA3" w:rsidP="005F1AA3">
            <w:pPr>
              <w:jc w:val="center"/>
              <w:rPr>
                <w:sz w:val="18"/>
              </w:rPr>
            </w:pPr>
            <w:r w:rsidRPr="005F1AA3">
              <w:rPr>
                <w:sz w:val="18"/>
              </w:rPr>
              <w:t>No</w:t>
            </w:r>
          </w:p>
        </w:tc>
        <w:tc>
          <w:tcPr>
            <w:tcW w:w="804" w:type="dxa"/>
            <w:tcBorders>
              <w:bottom w:val="single" w:sz="4" w:space="0" w:color="auto"/>
            </w:tcBorders>
            <w:vAlign w:val="center"/>
          </w:tcPr>
          <w:p w:rsidR="005F1AA3" w:rsidRPr="005F1AA3" w:rsidRDefault="005F1AA3" w:rsidP="005F1AA3">
            <w:pPr>
              <w:jc w:val="center"/>
              <w:rPr>
                <w:sz w:val="18"/>
                <w:szCs w:val="18"/>
              </w:rPr>
            </w:pPr>
            <w:r w:rsidRPr="005F1AA3">
              <w:rPr>
                <w:sz w:val="18"/>
                <w:szCs w:val="18"/>
              </w:rPr>
              <w:t>3/14</w:t>
            </w:r>
          </w:p>
        </w:tc>
        <w:tc>
          <w:tcPr>
            <w:tcW w:w="1338" w:type="dxa"/>
            <w:tcBorders>
              <w:bottom w:val="single" w:sz="4" w:space="0" w:color="auto"/>
            </w:tcBorders>
            <w:vAlign w:val="center"/>
          </w:tcPr>
          <w:p w:rsidR="005F1AA3" w:rsidRPr="005F1AA3" w:rsidRDefault="005F1AA3" w:rsidP="005F1AA3">
            <w:pPr>
              <w:jc w:val="center"/>
              <w:rPr>
                <w:sz w:val="18"/>
              </w:rPr>
            </w:pPr>
            <w:r w:rsidRPr="005F1AA3">
              <w:rPr>
                <w:sz w:val="18"/>
              </w:rPr>
              <w:t>0.036</w:t>
            </w:r>
          </w:p>
        </w:tc>
        <w:tc>
          <w:tcPr>
            <w:tcW w:w="1338" w:type="dxa"/>
            <w:tcBorders>
              <w:bottom w:val="single" w:sz="4" w:space="0" w:color="auto"/>
            </w:tcBorders>
            <w:vAlign w:val="center"/>
          </w:tcPr>
          <w:p w:rsidR="005F1AA3" w:rsidRPr="005F1AA3" w:rsidRDefault="005F1AA3" w:rsidP="005F1AA3">
            <w:pPr>
              <w:jc w:val="center"/>
              <w:rPr>
                <w:sz w:val="18"/>
              </w:rPr>
            </w:pPr>
            <w:r w:rsidRPr="005F1AA3">
              <w:rPr>
                <w:sz w:val="18"/>
              </w:rPr>
              <w:sym w:font="Symbol" w:char="F06D"/>
            </w:r>
            <w:r w:rsidRPr="005F1AA3">
              <w:rPr>
                <w:sz w:val="18"/>
              </w:rPr>
              <w:t>g/L</w:t>
            </w:r>
          </w:p>
        </w:tc>
        <w:tc>
          <w:tcPr>
            <w:tcW w:w="804" w:type="dxa"/>
            <w:tcBorders>
              <w:bottom w:val="single" w:sz="4" w:space="0" w:color="auto"/>
            </w:tcBorders>
            <w:vAlign w:val="center"/>
          </w:tcPr>
          <w:p w:rsidR="005F1AA3" w:rsidRPr="005F1AA3" w:rsidRDefault="005F1AA3" w:rsidP="005F1AA3">
            <w:pPr>
              <w:jc w:val="center"/>
              <w:rPr>
                <w:sz w:val="18"/>
              </w:rPr>
            </w:pPr>
            <w:r w:rsidRPr="005F1AA3">
              <w:rPr>
                <w:sz w:val="18"/>
              </w:rPr>
              <w:t>N/A</w:t>
            </w:r>
          </w:p>
        </w:tc>
        <w:tc>
          <w:tcPr>
            <w:tcW w:w="1160" w:type="dxa"/>
            <w:tcBorders>
              <w:bottom w:val="single" w:sz="4" w:space="0" w:color="auto"/>
            </w:tcBorders>
            <w:vAlign w:val="center"/>
          </w:tcPr>
          <w:p w:rsidR="005F1AA3" w:rsidRPr="005F1AA3" w:rsidRDefault="005F1AA3" w:rsidP="005F1AA3">
            <w:pPr>
              <w:jc w:val="both"/>
              <w:rPr>
                <w:sz w:val="18"/>
              </w:rPr>
            </w:pPr>
            <w:r w:rsidRPr="005F1AA3">
              <w:rPr>
                <w:sz w:val="18"/>
              </w:rPr>
              <w:t>MCL=30</w:t>
            </w:r>
          </w:p>
        </w:tc>
        <w:tc>
          <w:tcPr>
            <w:tcW w:w="2318" w:type="dxa"/>
            <w:tcBorders>
              <w:bottom w:val="single" w:sz="4" w:space="0" w:color="auto"/>
            </w:tcBorders>
            <w:vAlign w:val="center"/>
          </w:tcPr>
          <w:p w:rsidR="005F1AA3" w:rsidRPr="005F1AA3" w:rsidRDefault="005F1AA3" w:rsidP="005F1AA3">
            <w:pPr>
              <w:jc w:val="both"/>
              <w:rPr>
                <w:sz w:val="18"/>
              </w:rPr>
            </w:pPr>
            <w:r w:rsidRPr="005F1AA3">
              <w:rPr>
                <w:sz w:val="18"/>
              </w:rPr>
              <w:t>Erosion of natural deposits</w:t>
            </w:r>
          </w:p>
        </w:tc>
      </w:tr>
    </w:tbl>
    <w:p w:rsidR="00E66C21" w:rsidRDefault="00E66C21">
      <w:pPr>
        <w:jc w:val="both"/>
        <w:rPr>
          <w:sz w:val="22"/>
        </w:rPr>
      </w:pPr>
    </w:p>
    <w:p w:rsidR="005F1AA3" w:rsidRPr="008940CF" w:rsidRDefault="005F1AA3" w:rsidP="005F1AA3">
      <w:pPr>
        <w:spacing w:before="120"/>
        <w:ind w:left="86" w:hanging="86"/>
        <w:jc w:val="both"/>
        <w:rPr>
          <w:sz w:val="18"/>
        </w:rPr>
      </w:pPr>
      <w:r w:rsidRPr="00816456">
        <w:rPr>
          <w:vertAlign w:val="superscript"/>
        </w:rPr>
        <w:lastRenderedPageBreak/>
        <w:t>1</w:t>
      </w:r>
      <w:r w:rsidRPr="00816456">
        <w:rPr>
          <w:sz w:val="18"/>
        </w:rPr>
        <w:t>During 2014 the Niagara County Water District collected and analyzed 50 samples for lead and copper.  The level presented represents the 90th percentile of the 50 sites tested.  The 90th percentile is equal to or greater than 90% of the lead or copper values detected at your water system.  The analysis showed concentrations below action levels for all 50 copper samples.  Three (3) of the 50 lead samples exceeded the action level of 15 µg/L.  The range of lead levels detected is presented below the 90</w:t>
      </w:r>
      <w:r w:rsidRPr="00816456">
        <w:rPr>
          <w:sz w:val="18"/>
          <w:vertAlign w:val="superscript"/>
        </w:rPr>
        <w:t>th</w:t>
      </w:r>
      <w:r w:rsidRPr="00816456">
        <w:rPr>
          <w:sz w:val="18"/>
        </w:rPr>
        <w:t xml:space="preserve"> percentile value.</w:t>
      </w:r>
      <w:r w:rsidRPr="008940CF">
        <w:rPr>
          <w:sz w:val="18"/>
        </w:rPr>
        <w:t xml:space="preserve">  </w:t>
      </w:r>
    </w:p>
    <w:p w:rsidR="005F1AA3" w:rsidRDefault="005F1AA3" w:rsidP="005F1AA3">
      <w:pPr>
        <w:spacing w:before="120"/>
        <w:ind w:left="86" w:hanging="86"/>
        <w:jc w:val="both"/>
        <w:rPr>
          <w:sz w:val="18"/>
        </w:rPr>
      </w:pPr>
      <w:r w:rsidRPr="0036211F">
        <w:rPr>
          <w:noProof/>
          <w:sz w:val="22"/>
          <w:vertAlign w:val="superscript"/>
        </w:rPr>
        <w:t>2</w:t>
      </w:r>
      <w:r w:rsidRPr="0036211F">
        <w:rPr>
          <w:sz w:val="18"/>
        </w:rPr>
        <w:t xml:space="preserve">Turbidity is a measure of the cloudiness of the water.  We test it because it is a good indicator of the effectiveness of our filtration system.  NCWD’s highest single turbidity measurement for the year was 0.05 NTU.  State regulations require that turbidity must always be below 1 NTU leaving the Water Plant and 5 NTU in the distribution system.  The regulations require that 95% of the turbidity samples collected have measurements below 0.3 NTU.  All samples collected in </w:t>
      </w:r>
      <w:r>
        <w:rPr>
          <w:sz w:val="18"/>
        </w:rPr>
        <w:t>2014</w:t>
      </w:r>
      <w:r w:rsidRPr="0036211F">
        <w:rPr>
          <w:sz w:val="18"/>
        </w:rPr>
        <w:t xml:space="preserve"> were below the treatment technique level. </w:t>
      </w:r>
    </w:p>
    <w:p w:rsidR="00C553B5" w:rsidRDefault="00C553B5" w:rsidP="005F1AA3">
      <w:pPr>
        <w:spacing w:before="120"/>
        <w:ind w:left="86" w:hanging="86"/>
        <w:jc w:val="both"/>
        <w:rPr>
          <w:sz w:val="18"/>
        </w:rPr>
      </w:pPr>
    </w:p>
    <w:p w:rsidR="00485F34" w:rsidRDefault="00485F34" w:rsidP="004D3848">
      <w:pPr>
        <w:suppressAutoHyphens w:val="0"/>
        <w:autoSpaceDE w:val="0"/>
        <w:autoSpaceDN w:val="0"/>
        <w:adjustRightInd w:val="0"/>
        <w:rPr>
          <w:color w:val="00B0F0"/>
        </w:rPr>
      </w:pPr>
    </w:p>
    <w:p w:rsidR="00485F34" w:rsidRDefault="00485F34" w:rsidP="004D3848">
      <w:pPr>
        <w:suppressAutoHyphens w:val="0"/>
        <w:autoSpaceDE w:val="0"/>
        <w:autoSpaceDN w:val="0"/>
        <w:adjustRightInd w:val="0"/>
        <w:rPr>
          <w:color w:val="00B0F0"/>
        </w:rPr>
      </w:pPr>
    </w:p>
    <w:p w:rsidR="00485F34" w:rsidRDefault="00485F34" w:rsidP="004D3848">
      <w:pPr>
        <w:suppressAutoHyphens w:val="0"/>
        <w:autoSpaceDE w:val="0"/>
        <w:autoSpaceDN w:val="0"/>
        <w:adjustRightInd w:val="0"/>
        <w:rPr>
          <w:color w:val="00B0F0"/>
        </w:rPr>
      </w:pPr>
    </w:p>
    <w:p w:rsidR="00485F34" w:rsidRDefault="00485F34" w:rsidP="004D3848">
      <w:pPr>
        <w:suppressAutoHyphens w:val="0"/>
        <w:autoSpaceDE w:val="0"/>
        <w:autoSpaceDN w:val="0"/>
        <w:adjustRightInd w:val="0"/>
        <w:rPr>
          <w:color w:val="00B0F0"/>
        </w:rPr>
      </w:pPr>
    </w:p>
    <w:p w:rsidR="00485F34" w:rsidRDefault="00485F34" w:rsidP="004D3848">
      <w:pPr>
        <w:suppressAutoHyphens w:val="0"/>
        <w:autoSpaceDE w:val="0"/>
        <w:autoSpaceDN w:val="0"/>
        <w:adjustRightInd w:val="0"/>
        <w:rPr>
          <w:color w:val="00B0F0"/>
        </w:rPr>
      </w:pPr>
    </w:p>
    <w:p w:rsidR="00485F34" w:rsidRPr="00A770BF" w:rsidRDefault="00485F34" w:rsidP="004D3848">
      <w:pPr>
        <w:suppressAutoHyphens w:val="0"/>
        <w:autoSpaceDE w:val="0"/>
        <w:autoSpaceDN w:val="0"/>
        <w:adjustRightInd w:val="0"/>
        <w:rPr>
          <w:color w:val="00B0F0"/>
        </w:rPr>
      </w:pPr>
    </w:p>
    <w:p w:rsidR="005F1AA3" w:rsidRPr="005F1C14" w:rsidRDefault="005F1AA3" w:rsidP="005F1AA3">
      <w:pPr>
        <w:pStyle w:val="Heading1"/>
        <w:numPr>
          <w:ilvl w:val="0"/>
          <w:numId w:val="0"/>
        </w:numPr>
        <w:spacing w:before="120"/>
        <w:jc w:val="both"/>
      </w:pPr>
      <w:r w:rsidRPr="005F1C14">
        <w:rPr>
          <w:rFonts w:ascii="Times New Roman" w:hAnsi="Times New Roman"/>
          <w:bCs/>
          <w:smallCaps/>
        </w:rPr>
        <w:t>Town Of Pendleton</w:t>
      </w:r>
    </w:p>
    <w:p w:rsidR="005F1AA3" w:rsidRPr="005F1C14" w:rsidRDefault="005F1AA3" w:rsidP="005F1AA3">
      <w:pPr>
        <w:tabs>
          <w:tab w:val="left" w:pos="-1440"/>
        </w:tabs>
        <w:jc w:val="both"/>
        <w:outlineLvl w:val="0"/>
      </w:pPr>
      <w:r w:rsidRPr="005F1C14">
        <w:t>Town of Pendleton has not exceeded MCL for total coliform during 2014 reporting period.</w:t>
      </w:r>
    </w:p>
    <w:p w:rsidR="005F1AA3" w:rsidRPr="005F1C14" w:rsidRDefault="005F1AA3" w:rsidP="005F1AA3">
      <w:pPr>
        <w:tabs>
          <w:tab w:val="left" w:pos="-1440"/>
        </w:tabs>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080"/>
        <w:gridCol w:w="990"/>
        <w:gridCol w:w="1350"/>
        <w:gridCol w:w="1350"/>
        <w:gridCol w:w="810"/>
        <w:gridCol w:w="1350"/>
        <w:gridCol w:w="1890"/>
      </w:tblGrid>
      <w:tr w:rsidR="005F1AA3" w:rsidRPr="005F1C14" w:rsidTr="001924D7">
        <w:trPr>
          <w:trHeight w:val="503"/>
        </w:trPr>
        <w:tc>
          <w:tcPr>
            <w:tcW w:w="1440" w:type="dxa"/>
            <w:tcBorders>
              <w:top w:val="single" w:sz="4" w:space="0" w:color="auto"/>
              <w:left w:val="single" w:sz="4" w:space="0" w:color="auto"/>
              <w:bottom w:val="single" w:sz="4" w:space="0" w:color="auto"/>
              <w:right w:val="single" w:sz="4" w:space="0" w:color="auto"/>
            </w:tcBorders>
            <w:vAlign w:val="center"/>
          </w:tcPr>
          <w:p w:rsidR="005F1AA3" w:rsidRPr="005F1C14" w:rsidRDefault="005F1AA3" w:rsidP="001924D7">
            <w:pPr>
              <w:rPr>
                <w:b/>
                <w:sz w:val="18"/>
              </w:rPr>
            </w:pPr>
            <w:r w:rsidRPr="005F1C14">
              <w:rPr>
                <w:b/>
                <w:sz w:val="18"/>
              </w:rPr>
              <w:t>Contaminant</w:t>
            </w:r>
          </w:p>
        </w:tc>
        <w:tc>
          <w:tcPr>
            <w:tcW w:w="1080" w:type="dxa"/>
            <w:tcBorders>
              <w:top w:val="single" w:sz="4" w:space="0" w:color="auto"/>
              <w:left w:val="single" w:sz="4" w:space="0" w:color="auto"/>
              <w:bottom w:val="single" w:sz="4" w:space="0" w:color="auto"/>
              <w:right w:val="single" w:sz="4" w:space="0" w:color="auto"/>
            </w:tcBorders>
            <w:vAlign w:val="center"/>
          </w:tcPr>
          <w:p w:rsidR="005F1AA3" w:rsidRPr="005F1C14" w:rsidRDefault="005F1AA3" w:rsidP="001924D7">
            <w:pPr>
              <w:jc w:val="center"/>
              <w:rPr>
                <w:b/>
                <w:sz w:val="18"/>
                <w:szCs w:val="18"/>
              </w:rPr>
            </w:pPr>
            <w:r w:rsidRPr="005F1C14">
              <w:rPr>
                <w:b/>
                <w:sz w:val="18"/>
                <w:szCs w:val="18"/>
              </w:rPr>
              <w:t>Violation Yes/No</w:t>
            </w:r>
          </w:p>
        </w:tc>
        <w:tc>
          <w:tcPr>
            <w:tcW w:w="990" w:type="dxa"/>
            <w:tcBorders>
              <w:top w:val="single" w:sz="4" w:space="0" w:color="auto"/>
              <w:left w:val="single" w:sz="4" w:space="0" w:color="auto"/>
              <w:bottom w:val="single" w:sz="4" w:space="0" w:color="auto"/>
              <w:right w:val="single" w:sz="4" w:space="0" w:color="auto"/>
            </w:tcBorders>
            <w:vAlign w:val="center"/>
          </w:tcPr>
          <w:p w:rsidR="005F1AA3" w:rsidRPr="005F1C14" w:rsidRDefault="005F1AA3" w:rsidP="001924D7">
            <w:pPr>
              <w:jc w:val="center"/>
              <w:rPr>
                <w:b/>
                <w:sz w:val="18"/>
              </w:rPr>
            </w:pPr>
            <w:r w:rsidRPr="005F1C14">
              <w:rPr>
                <w:b/>
                <w:sz w:val="18"/>
              </w:rPr>
              <w:t>Date of Sample</w:t>
            </w:r>
          </w:p>
        </w:tc>
        <w:tc>
          <w:tcPr>
            <w:tcW w:w="1350" w:type="dxa"/>
            <w:tcBorders>
              <w:top w:val="single" w:sz="4" w:space="0" w:color="auto"/>
              <w:left w:val="single" w:sz="4" w:space="0" w:color="auto"/>
              <w:bottom w:val="single" w:sz="4" w:space="0" w:color="auto"/>
              <w:right w:val="single" w:sz="4" w:space="0" w:color="auto"/>
            </w:tcBorders>
            <w:vAlign w:val="center"/>
          </w:tcPr>
          <w:p w:rsidR="005F1AA3" w:rsidRPr="005F1C14" w:rsidRDefault="005F1AA3" w:rsidP="001924D7">
            <w:pPr>
              <w:jc w:val="center"/>
              <w:rPr>
                <w:b/>
                <w:sz w:val="18"/>
              </w:rPr>
            </w:pPr>
            <w:r w:rsidRPr="005F1C14">
              <w:rPr>
                <w:b/>
                <w:sz w:val="18"/>
              </w:rPr>
              <w:t>Level Detected</w:t>
            </w:r>
          </w:p>
          <w:p w:rsidR="005F1AA3" w:rsidRPr="005F1C14" w:rsidRDefault="005F1AA3" w:rsidP="001924D7">
            <w:pPr>
              <w:jc w:val="center"/>
              <w:rPr>
                <w:b/>
                <w:sz w:val="18"/>
              </w:rPr>
            </w:pPr>
            <w:r w:rsidRPr="005F1C14">
              <w:rPr>
                <w:b/>
                <w:sz w:val="18"/>
              </w:rPr>
              <w:t>(Avg.)</w:t>
            </w:r>
          </w:p>
          <w:p w:rsidR="005F1AA3" w:rsidRPr="005F1C14" w:rsidRDefault="005F1AA3" w:rsidP="001924D7">
            <w:pPr>
              <w:jc w:val="center"/>
              <w:rPr>
                <w:b/>
                <w:sz w:val="18"/>
              </w:rPr>
            </w:pPr>
            <w:r w:rsidRPr="005F1C14">
              <w:rPr>
                <w:b/>
                <w:sz w:val="18"/>
              </w:rPr>
              <w:t>(Range)</w:t>
            </w:r>
          </w:p>
        </w:tc>
        <w:tc>
          <w:tcPr>
            <w:tcW w:w="1350" w:type="dxa"/>
            <w:tcBorders>
              <w:top w:val="single" w:sz="4" w:space="0" w:color="auto"/>
              <w:left w:val="single" w:sz="4" w:space="0" w:color="auto"/>
              <w:bottom w:val="single" w:sz="4" w:space="0" w:color="auto"/>
              <w:right w:val="single" w:sz="4" w:space="0" w:color="auto"/>
            </w:tcBorders>
            <w:vAlign w:val="center"/>
          </w:tcPr>
          <w:p w:rsidR="005F1AA3" w:rsidRPr="005F1C14" w:rsidRDefault="005F1AA3" w:rsidP="001924D7">
            <w:pPr>
              <w:jc w:val="center"/>
              <w:rPr>
                <w:b/>
                <w:sz w:val="18"/>
              </w:rPr>
            </w:pPr>
            <w:r w:rsidRPr="005F1C14">
              <w:rPr>
                <w:b/>
                <w:sz w:val="18"/>
              </w:rPr>
              <w:t>Unit of Measurement</w:t>
            </w:r>
          </w:p>
        </w:tc>
        <w:tc>
          <w:tcPr>
            <w:tcW w:w="810" w:type="dxa"/>
            <w:tcBorders>
              <w:top w:val="single" w:sz="4" w:space="0" w:color="auto"/>
              <w:left w:val="single" w:sz="4" w:space="0" w:color="auto"/>
              <w:bottom w:val="single" w:sz="4" w:space="0" w:color="auto"/>
              <w:right w:val="single" w:sz="4" w:space="0" w:color="auto"/>
            </w:tcBorders>
            <w:vAlign w:val="center"/>
          </w:tcPr>
          <w:p w:rsidR="005F1AA3" w:rsidRPr="005F1C14" w:rsidRDefault="005F1AA3" w:rsidP="001924D7">
            <w:pPr>
              <w:jc w:val="center"/>
              <w:rPr>
                <w:b/>
                <w:sz w:val="18"/>
              </w:rPr>
            </w:pPr>
            <w:r w:rsidRPr="005F1C14">
              <w:rPr>
                <w:b/>
                <w:sz w:val="18"/>
              </w:rPr>
              <w:t>MCLG</w:t>
            </w:r>
          </w:p>
        </w:tc>
        <w:tc>
          <w:tcPr>
            <w:tcW w:w="1350" w:type="dxa"/>
            <w:tcBorders>
              <w:top w:val="single" w:sz="4" w:space="0" w:color="auto"/>
              <w:left w:val="single" w:sz="4" w:space="0" w:color="auto"/>
              <w:bottom w:val="single" w:sz="4" w:space="0" w:color="auto"/>
              <w:right w:val="single" w:sz="4" w:space="0" w:color="auto"/>
            </w:tcBorders>
            <w:vAlign w:val="center"/>
          </w:tcPr>
          <w:p w:rsidR="005F1AA3" w:rsidRPr="005F1C14" w:rsidRDefault="005F1AA3" w:rsidP="001924D7">
            <w:pPr>
              <w:jc w:val="center"/>
              <w:rPr>
                <w:b/>
                <w:sz w:val="18"/>
              </w:rPr>
            </w:pPr>
            <w:r w:rsidRPr="005F1C14">
              <w:rPr>
                <w:b/>
                <w:sz w:val="18"/>
              </w:rPr>
              <w:t>Regulatory Limit (MCL, TT or AL)</w:t>
            </w:r>
          </w:p>
        </w:tc>
        <w:tc>
          <w:tcPr>
            <w:tcW w:w="1890" w:type="dxa"/>
            <w:tcBorders>
              <w:top w:val="single" w:sz="4" w:space="0" w:color="auto"/>
              <w:left w:val="single" w:sz="4" w:space="0" w:color="auto"/>
              <w:bottom w:val="single" w:sz="4" w:space="0" w:color="auto"/>
              <w:right w:val="single" w:sz="4" w:space="0" w:color="auto"/>
            </w:tcBorders>
            <w:vAlign w:val="center"/>
          </w:tcPr>
          <w:p w:rsidR="005F1AA3" w:rsidRPr="005F1C14" w:rsidRDefault="005F1AA3" w:rsidP="001924D7">
            <w:pPr>
              <w:rPr>
                <w:b/>
                <w:sz w:val="18"/>
              </w:rPr>
            </w:pPr>
            <w:r w:rsidRPr="005F1C14">
              <w:rPr>
                <w:b/>
                <w:sz w:val="18"/>
              </w:rPr>
              <w:t>Likely Source of Contamination</w:t>
            </w:r>
          </w:p>
        </w:tc>
      </w:tr>
      <w:tr w:rsidR="005F1AA3" w:rsidRPr="005F1C14" w:rsidTr="001924D7">
        <w:trPr>
          <w:cantSplit/>
          <w:trHeight w:val="323"/>
        </w:trPr>
        <w:tc>
          <w:tcPr>
            <w:tcW w:w="10260" w:type="dxa"/>
            <w:gridSpan w:val="8"/>
            <w:vAlign w:val="center"/>
          </w:tcPr>
          <w:p w:rsidR="005F1AA3" w:rsidRPr="005F1C14" w:rsidRDefault="005F1AA3" w:rsidP="001924D7">
            <w:pPr>
              <w:rPr>
                <w:b/>
                <w:sz w:val="22"/>
                <w:szCs w:val="22"/>
                <w:vertAlign w:val="superscript"/>
              </w:rPr>
            </w:pPr>
            <w:r w:rsidRPr="005F1C14">
              <w:rPr>
                <w:b/>
                <w:sz w:val="22"/>
                <w:szCs w:val="22"/>
              </w:rPr>
              <w:t>Microbiological Contaminants</w:t>
            </w:r>
            <w:r w:rsidRPr="005F1C14">
              <w:rPr>
                <w:b/>
                <w:sz w:val="22"/>
                <w:szCs w:val="22"/>
                <w:vertAlign w:val="superscript"/>
              </w:rPr>
              <w:t>1</w:t>
            </w:r>
          </w:p>
        </w:tc>
      </w:tr>
      <w:tr w:rsidR="005F1AA3" w:rsidRPr="005F1C14" w:rsidTr="001924D7">
        <w:trPr>
          <w:cantSplit/>
          <w:trHeight w:val="521"/>
        </w:trPr>
        <w:tc>
          <w:tcPr>
            <w:tcW w:w="1440" w:type="dxa"/>
            <w:tcBorders>
              <w:left w:val="single" w:sz="4" w:space="0" w:color="auto"/>
            </w:tcBorders>
            <w:vAlign w:val="center"/>
          </w:tcPr>
          <w:p w:rsidR="005F1AA3" w:rsidRPr="005F1C14" w:rsidRDefault="005F1AA3" w:rsidP="001924D7">
            <w:pPr>
              <w:rPr>
                <w:sz w:val="18"/>
              </w:rPr>
            </w:pPr>
            <w:r w:rsidRPr="005F1C14">
              <w:rPr>
                <w:sz w:val="18"/>
              </w:rPr>
              <w:t>Turbidity</w:t>
            </w:r>
          </w:p>
        </w:tc>
        <w:tc>
          <w:tcPr>
            <w:tcW w:w="1080" w:type="dxa"/>
            <w:vAlign w:val="center"/>
          </w:tcPr>
          <w:p w:rsidR="005F1AA3" w:rsidRPr="005F1C14" w:rsidRDefault="005F1AA3" w:rsidP="001924D7">
            <w:pPr>
              <w:pStyle w:val="Heading5"/>
              <w:spacing w:before="0" w:after="0"/>
              <w:jc w:val="center"/>
              <w:rPr>
                <w:rFonts w:ascii="Times New Roman" w:hAnsi="Times New Roman"/>
                <w:sz w:val="20"/>
              </w:rPr>
            </w:pPr>
            <w:r w:rsidRPr="005F1C14">
              <w:rPr>
                <w:rFonts w:ascii="Times New Roman" w:hAnsi="Times New Roman"/>
                <w:sz w:val="20"/>
              </w:rPr>
              <w:t>No</w:t>
            </w:r>
          </w:p>
        </w:tc>
        <w:tc>
          <w:tcPr>
            <w:tcW w:w="990" w:type="dxa"/>
            <w:vAlign w:val="center"/>
          </w:tcPr>
          <w:p w:rsidR="005F1AA3" w:rsidRPr="005F1C14" w:rsidRDefault="005F1AA3" w:rsidP="001924D7">
            <w:pPr>
              <w:jc w:val="center"/>
              <w:rPr>
                <w:sz w:val="18"/>
              </w:rPr>
            </w:pPr>
            <w:r w:rsidRPr="005F1C14">
              <w:rPr>
                <w:sz w:val="18"/>
              </w:rPr>
              <w:t>1/14 -</w:t>
            </w:r>
          </w:p>
          <w:p w:rsidR="005F1AA3" w:rsidRPr="005F1C14" w:rsidRDefault="005F1AA3" w:rsidP="001924D7">
            <w:pPr>
              <w:jc w:val="center"/>
              <w:rPr>
                <w:sz w:val="18"/>
              </w:rPr>
            </w:pPr>
            <w:r w:rsidRPr="005F1C14">
              <w:rPr>
                <w:sz w:val="18"/>
              </w:rPr>
              <w:t>12/14</w:t>
            </w:r>
          </w:p>
        </w:tc>
        <w:tc>
          <w:tcPr>
            <w:tcW w:w="1350" w:type="dxa"/>
            <w:vAlign w:val="center"/>
          </w:tcPr>
          <w:p w:rsidR="005F1AA3" w:rsidRPr="005F1C14" w:rsidRDefault="005F1AA3" w:rsidP="001924D7">
            <w:pPr>
              <w:jc w:val="center"/>
              <w:rPr>
                <w:sz w:val="18"/>
              </w:rPr>
            </w:pPr>
            <w:r w:rsidRPr="005F1C14">
              <w:rPr>
                <w:sz w:val="18"/>
              </w:rPr>
              <w:t>0.12</w:t>
            </w:r>
          </w:p>
          <w:p w:rsidR="005F1AA3" w:rsidRPr="005F1C14" w:rsidRDefault="005F1AA3" w:rsidP="001924D7">
            <w:pPr>
              <w:jc w:val="center"/>
              <w:rPr>
                <w:sz w:val="18"/>
              </w:rPr>
            </w:pPr>
            <w:r w:rsidRPr="005F1C14">
              <w:rPr>
                <w:sz w:val="18"/>
              </w:rPr>
              <w:t>(0.02 – 0.80)</w:t>
            </w:r>
          </w:p>
        </w:tc>
        <w:tc>
          <w:tcPr>
            <w:tcW w:w="1350" w:type="dxa"/>
            <w:vAlign w:val="center"/>
          </w:tcPr>
          <w:p w:rsidR="005F1AA3" w:rsidRPr="005F1C14" w:rsidRDefault="005F1AA3" w:rsidP="001924D7">
            <w:pPr>
              <w:jc w:val="center"/>
              <w:rPr>
                <w:sz w:val="18"/>
              </w:rPr>
            </w:pPr>
            <w:r w:rsidRPr="005F1C14">
              <w:rPr>
                <w:sz w:val="18"/>
              </w:rPr>
              <w:t>NTU</w:t>
            </w:r>
          </w:p>
        </w:tc>
        <w:tc>
          <w:tcPr>
            <w:tcW w:w="810" w:type="dxa"/>
            <w:vAlign w:val="center"/>
          </w:tcPr>
          <w:p w:rsidR="005F1AA3" w:rsidRPr="005F1C14" w:rsidRDefault="005F1AA3" w:rsidP="001924D7">
            <w:pPr>
              <w:jc w:val="center"/>
              <w:rPr>
                <w:sz w:val="18"/>
              </w:rPr>
            </w:pPr>
            <w:r w:rsidRPr="005F1C14">
              <w:rPr>
                <w:sz w:val="18"/>
              </w:rPr>
              <w:t>N/A</w:t>
            </w:r>
          </w:p>
        </w:tc>
        <w:tc>
          <w:tcPr>
            <w:tcW w:w="1350" w:type="dxa"/>
            <w:vAlign w:val="center"/>
          </w:tcPr>
          <w:p w:rsidR="005F1AA3" w:rsidRPr="005F1C14" w:rsidRDefault="005F1AA3" w:rsidP="001924D7">
            <w:pPr>
              <w:rPr>
                <w:sz w:val="18"/>
              </w:rPr>
            </w:pPr>
            <w:r w:rsidRPr="005F1C14">
              <w:rPr>
                <w:sz w:val="18"/>
              </w:rPr>
              <w:t>TT= &lt;5NTU</w:t>
            </w:r>
          </w:p>
        </w:tc>
        <w:tc>
          <w:tcPr>
            <w:tcW w:w="1890" w:type="dxa"/>
            <w:tcBorders>
              <w:right w:val="single" w:sz="4" w:space="0" w:color="auto"/>
            </w:tcBorders>
            <w:vAlign w:val="center"/>
          </w:tcPr>
          <w:p w:rsidR="005F1AA3" w:rsidRPr="005F1C14" w:rsidRDefault="005F1AA3" w:rsidP="001924D7">
            <w:pPr>
              <w:rPr>
                <w:sz w:val="18"/>
              </w:rPr>
            </w:pPr>
            <w:r w:rsidRPr="005F1C14">
              <w:rPr>
                <w:sz w:val="18"/>
              </w:rPr>
              <w:t>Soil Runoff</w:t>
            </w:r>
          </w:p>
        </w:tc>
      </w:tr>
      <w:tr w:rsidR="005F1AA3" w:rsidRPr="00AF0D09" w:rsidTr="001924D7">
        <w:trPr>
          <w:trHeight w:val="719"/>
        </w:trPr>
        <w:tc>
          <w:tcPr>
            <w:tcW w:w="1440" w:type="dxa"/>
            <w:vAlign w:val="center"/>
          </w:tcPr>
          <w:p w:rsidR="005F1AA3" w:rsidRPr="00631D4E" w:rsidRDefault="005F1AA3" w:rsidP="001924D7">
            <w:pPr>
              <w:rPr>
                <w:sz w:val="18"/>
              </w:rPr>
            </w:pPr>
            <w:r w:rsidRPr="00631D4E">
              <w:rPr>
                <w:sz w:val="18"/>
              </w:rPr>
              <w:t>Total Coliform</w:t>
            </w:r>
          </w:p>
        </w:tc>
        <w:tc>
          <w:tcPr>
            <w:tcW w:w="1080" w:type="dxa"/>
            <w:vAlign w:val="center"/>
          </w:tcPr>
          <w:p w:rsidR="005F1AA3" w:rsidRPr="00631D4E" w:rsidRDefault="005F1AA3" w:rsidP="001924D7">
            <w:pPr>
              <w:pStyle w:val="Heading5"/>
              <w:spacing w:before="0" w:after="0"/>
              <w:jc w:val="center"/>
              <w:rPr>
                <w:rFonts w:ascii="Times New Roman" w:hAnsi="Times New Roman"/>
                <w:b w:val="0"/>
                <w:sz w:val="20"/>
              </w:rPr>
            </w:pPr>
            <w:r w:rsidRPr="00631D4E">
              <w:rPr>
                <w:rFonts w:ascii="Times New Roman" w:hAnsi="Times New Roman"/>
                <w:sz w:val="20"/>
              </w:rPr>
              <w:t>No</w:t>
            </w:r>
          </w:p>
        </w:tc>
        <w:tc>
          <w:tcPr>
            <w:tcW w:w="990" w:type="dxa"/>
            <w:vAlign w:val="center"/>
          </w:tcPr>
          <w:p w:rsidR="005F1AA3" w:rsidRPr="00631D4E" w:rsidRDefault="005F1AA3" w:rsidP="001924D7">
            <w:pPr>
              <w:jc w:val="center"/>
              <w:rPr>
                <w:sz w:val="18"/>
              </w:rPr>
            </w:pPr>
            <w:r w:rsidRPr="00631D4E">
              <w:rPr>
                <w:sz w:val="18"/>
              </w:rPr>
              <w:t>1/14 -</w:t>
            </w:r>
          </w:p>
          <w:p w:rsidR="005F1AA3" w:rsidRPr="00631D4E" w:rsidRDefault="005F1AA3" w:rsidP="001924D7">
            <w:pPr>
              <w:jc w:val="center"/>
              <w:rPr>
                <w:sz w:val="18"/>
              </w:rPr>
            </w:pPr>
            <w:r w:rsidRPr="00631D4E">
              <w:rPr>
                <w:sz w:val="18"/>
              </w:rPr>
              <w:t>12/14</w:t>
            </w:r>
          </w:p>
        </w:tc>
        <w:tc>
          <w:tcPr>
            <w:tcW w:w="1350" w:type="dxa"/>
            <w:vAlign w:val="center"/>
          </w:tcPr>
          <w:p w:rsidR="005F1AA3" w:rsidRPr="00631D4E" w:rsidRDefault="005F1AA3" w:rsidP="001924D7">
            <w:pPr>
              <w:jc w:val="center"/>
              <w:rPr>
                <w:sz w:val="18"/>
              </w:rPr>
            </w:pPr>
            <w:r w:rsidRPr="00631D4E">
              <w:rPr>
                <w:sz w:val="18"/>
              </w:rPr>
              <w:t>0 positive samples</w:t>
            </w:r>
          </w:p>
        </w:tc>
        <w:tc>
          <w:tcPr>
            <w:tcW w:w="1350" w:type="dxa"/>
            <w:vAlign w:val="center"/>
          </w:tcPr>
          <w:p w:rsidR="005F1AA3" w:rsidRPr="00631D4E" w:rsidRDefault="005F1AA3" w:rsidP="001924D7">
            <w:pPr>
              <w:jc w:val="center"/>
              <w:rPr>
                <w:sz w:val="18"/>
              </w:rPr>
            </w:pPr>
            <w:r w:rsidRPr="00631D4E">
              <w:rPr>
                <w:sz w:val="18"/>
              </w:rPr>
              <w:t>N/A</w:t>
            </w:r>
          </w:p>
        </w:tc>
        <w:tc>
          <w:tcPr>
            <w:tcW w:w="810" w:type="dxa"/>
            <w:vAlign w:val="center"/>
          </w:tcPr>
          <w:p w:rsidR="005F1AA3" w:rsidRPr="00631D4E" w:rsidRDefault="005F1AA3" w:rsidP="001924D7">
            <w:pPr>
              <w:jc w:val="center"/>
              <w:rPr>
                <w:sz w:val="18"/>
              </w:rPr>
            </w:pPr>
            <w:r w:rsidRPr="00631D4E">
              <w:rPr>
                <w:sz w:val="18"/>
              </w:rPr>
              <w:t>0</w:t>
            </w:r>
          </w:p>
        </w:tc>
        <w:tc>
          <w:tcPr>
            <w:tcW w:w="1350" w:type="dxa"/>
            <w:vAlign w:val="center"/>
          </w:tcPr>
          <w:p w:rsidR="005F1AA3" w:rsidRPr="00631D4E" w:rsidRDefault="005F1AA3" w:rsidP="001924D7">
            <w:pPr>
              <w:rPr>
                <w:sz w:val="18"/>
              </w:rPr>
            </w:pPr>
            <w:r w:rsidRPr="00631D4E">
              <w:rPr>
                <w:sz w:val="18"/>
              </w:rPr>
              <w:t>MCL= 2 or more positive samples</w:t>
            </w:r>
          </w:p>
        </w:tc>
        <w:tc>
          <w:tcPr>
            <w:tcW w:w="1890" w:type="dxa"/>
            <w:vAlign w:val="center"/>
          </w:tcPr>
          <w:p w:rsidR="005F1AA3" w:rsidRPr="00631D4E" w:rsidRDefault="005F1AA3" w:rsidP="001924D7">
            <w:pPr>
              <w:rPr>
                <w:sz w:val="18"/>
              </w:rPr>
            </w:pPr>
            <w:r w:rsidRPr="00631D4E">
              <w:rPr>
                <w:sz w:val="18"/>
              </w:rPr>
              <w:t>Naturally present in the environment</w:t>
            </w:r>
          </w:p>
        </w:tc>
      </w:tr>
      <w:tr w:rsidR="005F1AA3" w:rsidRPr="00AF0D09" w:rsidTr="001924D7">
        <w:trPr>
          <w:trHeight w:val="719"/>
        </w:trPr>
        <w:tc>
          <w:tcPr>
            <w:tcW w:w="1440" w:type="dxa"/>
            <w:vAlign w:val="center"/>
          </w:tcPr>
          <w:p w:rsidR="005F1AA3" w:rsidRPr="00F37A46" w:rsidRDefault="005F1AA3" w:rsidP="001924D7">
            <w:pPr>
              <w:rPr>
                <w:sz w:val="18"/>
              </w:rPr>
            </w:pPr>
            <w:r w:rsidRPr="00F37A46">
              <w:rPr>
                <w:sz w:val="18"/>
                <w:szCs w:val="18"/>
              </w:rPr>
              <w:t>Chlorine Residual</w:t>
            </w:r>
          </w:p>
        </w:tc>
        <w:tc>
          <w:tcPr>
            <w:tcW w:w="1080" w:type="dxa"/>
            <w:vAlign w:val="center"/>
          </w:tcPr>
          <w:p w:rsidR="005F1AA3" w:rsidRPr="00F37A46" w:rsidRDefault="005F1AA3" w:rsidP="001924D7">
            <w:pPr>
              <w:pStyle w:val="Heading5"/>
              <w:spacing w:before="0" w:after="0"/>
              <w:jc w:val="center"/>
              <w:rPr>
                <w:rFonts w:ascii="Times New Roman" w:hAnsi="Times New Roman"/>
                <w:sz w:val="20"/>
              </w:rPr>
            </w:pPr>
            <w:r w:rsidRPr="00F37A46">
              <w:rPr>
                <w:rFonts w:ascii="Times New Roman" w:hAnsi="Times New Roman"/>
                <w:sz w:val="20"/>
              </w:rPr>
              <w:t>No</w:t>
            </w:r>
          </w:p>
        </w:tc>
        <w:tc>
          <w:tcPr>
            <w:tcW w:w="990" w:type="dxa"/>
            <w:vAlign w:val="center"/>
          </w:tcPr>
          <w:p w:rsidR="005F1AA3" w:rsidRPr="00F37A46" w:rsidRDefault="005F1AA3" w:rsidP="001924D7">
            <w:pPr>
              <w:jc w:val="center"/>
              <w:rPr>
                <w:sz w:val="18"/>
              </w:rPr>
            </w:pPr>
            <w:r w:rsidRPr="00F37A46">
              <w:rPr>
                <w:sz w:val="18"/>
              </w:rPr>
              <w:t>1/14 -</w:t>
            </w:r>
          </w:p>
          <w:p w:rsidR="005F1AA3" w:rsidRPr="00F37A46" w:rsidRDefault="005F1AA3" w:rsidP="001924D7">
            <w:pPr>
              <w:jc w:val="center"/>
              <w:rPr>
                <w:sz w:val="18"/>
              </w:rPr>
            </w:pPr>
            <w:r w:rsidRPr="00F37A46">
              <w:rPr>
                <w:sz w:val="18"/>
              </w:rPr>
              <w:t>12/14</w:t>
            </w:r>
          </w:p>
        </w:tc>
        <w:tc>
          <w:tcPr>
            <w:tcW w:w="1350" w:type="dxa"/>
            <w:vAlign w:val="center"/>
          </w:tcPr>
          <w:p w:rsidR="005F1AA3" w:rsidRPr="005F1C14" w:rsidRDefault="005F1AA3" w:rsidP="001924D7">
            <w:pPr>
              <w:jc w:val="center"/>
              <w:rPr>
                <w:sz w:val="18"/>
              </w:rPr>
            </w:pPr>
            <w:r w:rsidRPr="005F1C14">
              <w:rPr>
                <w:sz w:val="18"/>
              </w:rPr>
              <w:t>0.49</w:t>
            </w:r>
          </w:p>
          <w:p w:rsidR="005F1AA3" w:rsidRPr="005F1C14" w:rsidRDefault="005F1AA3" w:rsidP="001924D7">
            <w:pPr>
              <w:jc w:val="center"/>
              <w:rPr>
                <w:sz w:val="18"/>
              </w:rPr>
            </w:pPr>
            <w:r w:rsidRPr="005F1C14">
              <w:rPr>
                <w:sz w:val="18"/>
              </w:rPr>
              <w:t>(0.01 – 1.16)</w:t>
            </w:r>
          </w:p>
        </w:tc>
        <w:tc>
          <w:tcPr>
            <w:tcW w:w="1350" w:type="dxa"/>
            <w:vAlign w:val="center"/>
          </w:tcPr>
          <w:p w:rsidR="005F1AA3" w:rsidRPr="005F1C14" w:rsidRDefault="005F1AA3" w:rsidP="001924D7">
            <w:pPr>
              <w:jc w:val="center"/>
              <w:rPr>
                <w:sz w:val="18"/>
              </w:rPr>
            </w:pPr>
            <w:r w:rsidRPr="005F1C14">
              <w:rPr>
                <w:sz w:val="18"/>
              </w:rPr>
              <w:t>mg/l</w:t>
            </w:r>
          </w:p>
        </w:tc>
        <w:tc>
          <w:tcPr>
            <w:tcW w:w="810" w:type="dxa"/>
            <w:vAlign w:val="center"/>
          </w:tcPr>
          <w:p w:rsidR="005F1AA3" w:rsidRPr="005F1C14" w:rsidRDefault="005F1AA3" w:rsidP="001924D7">
            <w:pPr>
              <w:spacing w:line="228" w:lineRule="auto"/>
              <w:jc w:val="center"/>
              <w:rPr>
                <w:sz w:val="18"/>
                <w:szCs w:val="18"/>
              </w:rPr>
            </w:pPr>
            <w:r w:rsidRPr="005F1C14">
              <w:rPr>
                <w:sz w:val="18"/>
                <w:szCs w:val="18"/>
              </w:rPr>
              <w:t>MRDL</w:t>
            </w:r>
          </w:p>
          <w:p w:rsidR="005F1AA3" w:rsidRPr="005F1C14" w:rsidRDefault="005F1AA3" w:rsidP="001924D7">
            <w:pPr>
              <w:jc w:val="center"/>
              <w:rPr>
                <w:sz w:val="18"/>
              </w:rPr>
            </w:pPr>
            <w:r w:rsidRPr="005F1C14">
              <w:rPr>
                <w:sz w:val="18"/>
                <w:szCs w:val="18"/>
              </w:rPr>
              <w:t>4.0</w:t>
            </w:r>
          </w:p>
        </w:tc>
        <w:tc>
          <w:tcPr>
            <w:tcW w:w="1350" w:type="dxa"/>
            <w:vAlign w:val="center"/>
          </w:tcPr>
          <w:p w:rsidR="005F1AA3" w:rsidRPr="005F1C14" w:rsidRDefault="005F1AA3" w:rsidP="001924D7">
            <w:pPr>
              <w:spacing w:line="228" w:lineRule="auto"/>
              <w:jc w:val="both"/>
              <w:rPr>
                <w:sz w:val="18"/>
                <w:szCs w:val="18"/>
              </w:rPr>
            </w:pPr>
            <w:r w:rsidRPr="005F1C14">
              <w:rPr>
                <w:sz w:val="18"/>
                <w:szCs w:val="18"/>
              </w:rPr>
              <w:t>MRDLG</w:t>
            </w:r>
          </w:p>
          <w:p w:rsidR="005F1AA3" w:rsidRPr="005F1C14" w:rsidRDefault="005F1AA3" w:rsidP="001924D7">
            <w:pPr>
              <w:rPr>
                <w:sz w:val="18"/>
              </w:rPr>
            </w:pPr>
            <w:r w:rsidRPr="005F1C14">
              <w:rPr>
                <w:sz w:val="18"/>
                <w:szCs w:val="18"/>
              </w:rPr>
              <w:t>4.0</w:t>
            </w:r>
          </w:p>
        </w:tc>
        <w:tc>
          <w:tcPr>
            <w:tcW w:w="1890" w:type="dxa"/>
            <w:vAlign w:val="center"/>
          </w:tcPr>
          <w:p w:rsidR="005F1AA3" w:rsidRPr="005F1C14" w:rsidRDefault="005F1AA3" w:rsidP="001924D7">
            <w:pPr>
              <w:rPr>
                <w:sz w:val="18"/>
              </w:rPr>
            </w:pPr>
            <w:r w:rsidRPr="005F1C14">
              <w:rPr>
                <w:sz w:val="18"/>
                <w:szCs w:val="18"/>
              </w:rPr>
              <w:t>Added for disinfection.</w:t>
            </w:r>
          </w:p>
        </w:tc>
      </w:tr>
      <w:tr w:rsidR="005F1AA3" w:rsidRPr="00AF0D09" w:rsidTr="001924D7">
        <w:trPr>
          <w:trHeight w:val="458"/>
        </w:trPr>
        <w:tc>
          <w:tcPr>
            <w:tcW w:w="10260" w:type="dxa"/>
            <w:gridSpan w:val="8"/>
            <w:vAlign w:val="center"/>
          </w:tcPr>
          <w:p w:rsidR="005F1AA3" w:rsidRPr="00F37A46" w:rsidRDefault="005F1AA3" w:rsidP="001924D7">
            <w:pPr>
              <w:rPr>
                <w:b/>
                <w:sz w:val="22"/>
                <w:szCs w:val="22"/>
              </w:rPr>
            </w:pPr>
            <w:r w:rsidRPr="00F37A46">
              <w:rPr>
                <w:b/>
                <w:sz w:val="22"/>
                <w:szCs w:val="22"/>
              </w:rPr>
              <w:t>Disinfection Byproducts</w:t>
            </w:r>
            <w:r w:rsidRPr="00F37A46">
              <w:rPr>
                <w:b/>
                <w:sz w:val="22"/>
                <w:szCs w:val="22"/>
                <w:vertAlign w:val="superscript"/>
              </w:rPr>
              <w:t>2</w:t>
            </w:r>
          </w:p>
        </w:tc>
      </w:tr>
      <w:tr w:rsidR="005F1AA3" w:rsidRPr="00AF0D09" w:rsidTr="001924D7">
        <w:trPr>
          <w:trHeight w:val="458"/>
        </w:trPr>
        <w:tc>
          <w:tcPr>
            <w:tcW w:w="1440" w:type="dxa"/>
            <w:vAlign w:val="center"/>
          </w:tcPr>
          <w:p w:rsidR="005F1AA3" w:rsidRPr="00F37A46" w:rsidRDefault="005F1AA3" w:rsidP="001924D7">
            <w:pPr>
              <w:spacing w:before="120" w:after="120"/>
              <w:rPr>
                <w:sz w:val="18"/>
                <w:szCs w:val="18"/>
              </w:rPr>
            </w:pPr>
            <w:r w:rsidRPr="00F37A46">
              <w:rPr>
                <w:sz w:val="18"/>
                <w:szCs w:val="18"/>
              </w:rPr>
              <w:t>Total Trihalomethanes</w:t>
            </w:r>
          </w:p>
        </w:tc>
        <w:tc>
          <w:tcPr>
            <w:tcW w:w="1080" w:type="dxa"/>
            <w:vAlign w:val="center"/>
          </w:tcPr>
          <w:p w:rsidR="005F1AA3" w:rsidRPr="00F37A46" w:rsidRDefault="005F1AA3" w:rsidP="001924D7">
            <w:pPr>
              <w:jc w:val="center"/>
              <w:rPr>
                <w:sz w:val="18"/>
              </w:rPr>
            </w:pPr>
            <w:r w:rsidRPr="00F37A46">
              <w:rPr>
                <w:sz w:val="18"/>
              </w:rPr>
              <w:t>No</w:t>
            </w:r>
          </w:p>
        </w:tc>
        <w:tc>
          <w:tcPr>
            <w:tcW w:w="990" w:type="dxa"/>
            <w:vAlign w:val="center"/>
          </w:tcPr>
          <w:p w:rsidR="005F1AA3" w:rsidRPr="00F37A46" w:rsidRDefault="005F1AA3" w:rsidP="001924D7">
            <w:pPr>
              <w:jc w:val="center"/>
              <w:rPr>
                <w:sz w:val="18"/>
              </w:rPr>
            </w:pPr>
            <w:r w:rsidRPr="00F37A46">
              <w:rPr>
                <w:sz w:val="18"/>
              </w:rPr>
              <w:t>1/14 – 12/14</w:t>
            </w:r>
          </w:p>
        </w:tc>
        <w:tc>
          <w:tcPr>
            <w:tcW w:w="1350" w:type="dxa"/>
            <w:vAlign w:val="center"/>
          </w:tcPr>
          <w:p w:rsidR="005F1AA3" w:rsidRPr="00D15120" w:rsidRDefault="005F1AA3" w:rsidP="001924D7">
            <w:pPr>
              <w:spacing w:before="120" w:after="120"/>
              <w:jc w:val="center"/>
              <w:rPr>
                <w:sz w:val="18"/>
                <w:szCs w:val="18"/>
              </w:rPr>
            </w:pPr>
            <w:r>
              <w:rPr>
                <w:sz w:val="18"/>
                <w:szCs w:val="18"/>
              </w:rPr>
              <w:t>60                 (29</w:t>
            </w:r>
            <w:r w:rsidRPr="00D15120">
              <w:rPr>
                <w:sz w:val="18"/>
                <w:szCs w:val="18"/>
              </w:rPr>
              <w:t xml:space="preserve"> – 6</w:t>
            </w:r>
            <w:r>
              <w:rPr>
                <w:sz w:val="18"/>
                <w:szCs w:val="18"/>
              </w:rPr>
              <w:t>6</w:t>
            </w:r>
            <w:r w:rsidRPr="00D15120">
              <w:rPr>
                <w:sz w:val="18"/>
                <w:szCs w:val="18"/>
              </w:rPr>
              <w:t>)</w:t>
            </w:r>
          </w:p>
        </w:tc>
        <w:tc>
          <w:tcPr>
            <w:tcW w:w="1350" w:type="dxa"/>
            <w:vAlign w:val="center"/>
          </w:tcPr>
          <w:p w:rsidR="005F1AA3" w:rsidRPr="00D15120" w:rsidRDefault="005F1AA3" w:rsidP="001924D7">
            <w:pPr>
              <w:jc w:val="center"/>
              <w:rPr>
                <w:sz w:val="18"/>
              </w:rPr>
            </w:pPr>
            <w:r w:rsidRPr="00D15120">
              <w:rPr>
                <w:sz w:val="18"/>
              </w:rPr>
              <w:t>μg/l</w:t>
            </w:r>
          </w:p>
        </w:tc>
        <w:tc>
          <w:tcPr>
            <w:tcW w:w="810" w:type="dxa"/>
            <w:vAlign w:val="center"/>
          </w:tcPr>
          <w:p w:rsidR="005F1AA3" w:rsidRPr="00D15120" w:rsidRDefault="005F1AA3" w:rsidP="001924D7">
            <w:pPr>
              <w:jc w:val="center"/>
              <w:rPr>
                <w:sz w:val="18"/>
              </w:rPr>
            </w:pPr>
            <w:r w:rsidRPr="00D15120">
              <w:rPr>
                <w:sz w:val="18"/>
              </w:rPr>
              <w:t>N/A</w:t>
            </w:r>
          </w:p>
        </w:tc>
        <w:tc>
          <w:tcPr>
            <w:tcW w:w="1350" w:type="dxa"/>
            <w:vAlign w:val="center"/>
          </w:tcPr>
          <w:p w:rsidR="005F1AA3" w:rsidRPr="00D15120" w:rsidRDefault="005F1AA3" w:rsidP="001924D7">
            <w:pPr>
              <w:spacing w:before="120" w:after="120"/>
              <w:rPr>
                <w:sz w:val="18"/>
                <w:szCs w:val="18"/>
              </w:rPr>
            </w:pPr>
            <w:r w:rsidRPr="00D15120">
              <w:rPr>
                <w:sz w:val="18"/>
                <w:szCs w:val="18"/>
              </w:rPr>
              <w:t>MCL=80</w:t>
            </w:r>
          </w:p>
        </w:tc>
        <w:tc>
          <w:tcPr>
            <w:tcW w:w="1890" w:type="dxa"/>
            <w:vAlign w:val="center"/>
          </w:tcPr>
          <w:p w:rsidR="005F1AA3" w:rsidRPr="00D15120" w:rsidRDefault="005F1AA3" w:rsidP="001924D7">
            <w:pPr>
              <w:spacing w:before="120" w:after="120"/>
              <w:rPr>
                <w:sz w:val="18"/>
                <w:szCs w:val="18"/>
              </w:rPr>
            </w:pPr>
            <w:r w:rsidRPr="00D15120">
              <w:rPr>
                <w:sz w:val="18"/>
                <w:szCs w:val="18"/>
              </w:rPr>
              <w:t>By-product of drinking water chlorination</w:t>
            </w:r>
          </w:p>
        </w:tc>
      </w:tr>
      <w:tr w:rsidR="005F1AA3" w:rsidRPr="00AF0D09" w:rsidTr="001924D7">
        <w:trPr>
          <w:trHeight w:val="458"/>
        </w:trPr>
        <w:tc>
          <w:tcPr>
            <w:tcW w:w="1440" w:type="dxa"/>
            <w:vAlign w:val="center"/>
          </w:tcPr>
          <w:p w:rsidR="005F1AA3" w:rsidRPr="00D15120" w:rsidRDefault="005F1AA3" w:rsidP="001924D7">
            <w:pPr>
              <w:spacing w:before="120" w:after="120"/>
              <w:rPr>
                <w:sz w:val="18"/>
                <w:szCs w:val="18"/>
              </w:rPr>
            </w:pPr>
            <w:r w:rsidRPr="00D15120">
              <w:rPr>
                <w:sz w:val="18"/>
                <w:szCs w:val="18"/>
              </w:rPr>
              <w:t>Total Haloacetic Acids</w:t>
            </w:r>
          </w:p>
        </w:tc>
        <w:tc>
          <w:tcPr>
            <w:tcW w:w="1080" w:type="dxa"/>
            <w:vAlign w:val="center"/>
          </w:tcPr>
          <w:p w:rsidR="005F1AA3" w:rsidRPr="00D15120" w:rsidRDefault="005F1AA3" w:rsidP="001924D7">
            <w:pPr>
              <w:jc w:val="center"/>
              <w:rPr>
                <w:sz w:val="18"/>
              </w:rPr>
            </w:pPr>
            <w:r w:rsidRPr="00D15120">
              <w:rPr>
                <w:sz w:val="18"/>
              </w:rPr>
              <w:t>No</w:t>
            </w:r>
          </w:p>
        </w:tc>
        <w:tc>
          <w:tcPr>
            <w:tcW w:w="990" w:type="dxa"/>
            <w:vAlign w:val="center"/>
          </w:tcPr>
          <w:p w:rsidR="005F1AA3" w:rsidRPr="00D15120" w:rsidRDefault="005F1AA3" w:rsidP="001924D7">
            <w:pPr>
              <w:jc w:val="center"/>
              <w:rPr>
                <w:sz w:val="18"/>
              </w:rPr>
            </w:pPr>
            <w:r w:rsidRPr="00D15120">
              <w:rPr>
                <w:sz w:val="18"/>
              </w:rPr>
              <w:t>1/14 – 12/14</w:t>
            </w:r>
          </w:p>
        </w:tc>
        <w:tc>
          <w:tcPr>
            <w:tcW w:w="1350" w:type="dxa"/>
            <w:vAlign w:val="center"/>
          </w:tcPr>
          <w:p w:rsidR="005F1AA3" w:rsidRPr="00D15120" w:rsidRDefault="005F1AA3" w:rsidP="001924D7">
            <w:pPr>
              <w:spacing w:before="120" w:after="120"/>
              <w:jc w:val="center"/>
              <w:rPr>
                <w:sz w:val="18"/>
                <w:szCs w:val="18"/>
              </w:rPr>
            </w:pPr>
            <w:r>
              <w:rPr>
                <w:sz w:val="18"/>
                <w:szCs w:val="18"/>
              </w:rPr>
              <w:t>26                (13</w:t>
            </w:r>
            <w:r w:rsidRPr="00D15120">
              <w:rPr>
                <w:sz w:val="18"/>
                <w:szCs w:val="18"/>
              </w:rPr>
              <w:t xml:space="preserve"> – </w:t>
            </w:r>
            <w:r>
              <w:rPr>
                <w:sz w:val="18"/>
                <w:szCs w:val="18"/>
              </w:rPr>
              <w:t>42</w:t>
            </w:r>
            <w:r w:rsidRPr="00D15120">
              <w:rPr>
                <w:sz w:val="18"/>
                <w:szCs w:val="18"/>
              </w:rPr>
              <w:t>)</w:t>
            </w:r>
          </w:p>
        </w:tc>
        <w:tc>
          <w:tcPr>
            <w:tcW w:w="1350" w:type="dxa"/>
            <w:vAlign w:val="center"/>
          </w:tcPr>
          <w:p w:rsidR="005F1AA3" w:rsidRPr="00D15120" w:rsidRDefault="005F1AA3" w:rsidP="001924D7">
            <w:pPr>
              <w:jc w:val="center"/>
              <w:rPr>
                <w:sz w:val="18"/>
              </w:rPr>
            </w:pPr>
            <w:r w:rsidRPr="00D15120">
              <w:rPr>
                <w:sz w:val="18"/>
              </w:rPr>
              <w:t>μg/l</w:t>
            </w:r>
          </w:p>
        </w:tc>
        <w:tc>
          <w:tcPr>
            <w:tcW w:w="810" w:type="dxa"/>
            <w:vAlign w:val="center"/>
          </w:tcPr>
          <w:p w:rsidR="005F1AA3" w:rsidRPr="00D15120" w:rsidRDefault="005F1AA3" w:rsidP="001924D7">
            <w:pPr>
              <w:jc w:val="center"/>
              <w:rPr>
                <w:sz w:val="18"/>
              </w:rPr>
            </w:pPr>
            <w:r w:rsidRPr="00D15120">
              <w:rPr>
                <w:sz w:val="18"/>
              </w:rPr>
              <w:t>N/A</w:t>
            </w:r>
          </w:p>
        </w:tc>
        <w:tc>
          <w:tcPr>
            <w:tcW w:w="1350" w:type="dxa"/>
            <w:vAlign w:val="center"/>
          </w:tcPr>
          <w:p w:rsidR="005F1AA3" w:rsidRPr="00D15120" w:rsidRDefault="005F1AA3" w:rsidP="001924D7">
            <w:pPr>
              <w:spacing w:before="120" w:after="120"/>
              <w:rPr>
                <w:sz w:val="18"/>
                <w:szCs w:val="18"/>
              </w:rPr>
            </w:pPr>
            <w:r w:rsidRPr="00D15120">
              <w:rPr>
                <w:sz w:val="18"/>
                <w:szCs w:val="18"/>
              </w:rPr>
              <w:t>MCL=60</w:t>
            </w:r>
          </w:p>
        </w:tc>
        <w:tc>
          <w:tcPr>
            <w:tcW w:w="1890" w:type="dxa"/>
            <w:vAlign w:val="center"/>
          </w:tcPr>
          <w:p w:rsidR="005F1AA3" w:rsidRPr="00D15120" w:rsidRDefault="005F1AA3" w:rsidP="001924D7">
            <w:pPr>
              <w:spacing w:before="120" w:after="120"/>
              <w:rPr>
                <w:sz w:val="18"/>
                <w:szCs w:val="18"/>
              </w:rPr>
            </w:pPr>
            <w:r w:rsidRPr="00D15120">
              <w:rPr>
                <w:sz w:val="18"/>
                <w:szCs w:val="18"/>
              </w:rPr>
              <w:t>By-product of drinking water chlorination</w:t>
            </w:r>
          </w:p>
        </w:tc>
      </w:tr>
      <w:tr w:rsidR="0090737E" w:rsidRPr="00AF0D09" w:rsidTr="00F621AA">
        <w:trPr>
          <w:trHeight w:val="458"/>
        </w:trPr>
        <w:tc>
          <w:tcPr>
            <w:tcW w:w="10260" w:type="dxa"/>
            <w:gridSpan w:val="8"/>
            <w:vAlign w:val="center"/>
          </w:tcPr>
          <w:p w:rsidR="0090737E" w:rsidRPr="000B33F3" w:rsidRDefault="0090737E" w:rsidP="0090737E">
            <w:pPr>
              <w:pStyle w:val="Footer"/>
              <w:tabs>
                <w:tab w:val="clear" w:pos="8640"/>
                <w:tab w:val="right" w:pos="7470"/>
              </w:tabs>
              <w:ind w:right="360"/>
              <w:jc w:val="both"/>
              <w:rPr>
                <w:sz w:val="16"/>
                <w:szCs w:val="16"/>
              </w:rPr>
            </w:pPr>
            <w:r w:rsidRPr="000B33F3">
              <w:rPr>
                <w:szCs w:val="16"/>
                <w:vertAlign w:val="superscript"/>
              </w:rPr>
              <w:t>1</w:t>
            </w:r>
            <w:r w:rsidRPr="000B33F3">
              <w:rPr>
                <w:sz w:val="16"/>
                <w:szCs w:val="16"/>
              </w:rPr>
              <w:t>Turbidity is a measure of the cloudiness of the water.  We test is because it is a good indicator of the effectiveness of our filtration system.  State regulations require that average monthly turbidity must always be below 1 NTU leaving the Water Plant and 5 NTU in the distribution system.</w:t>
            </w:r>
          </w:p>
          <w:p w:rsidR="0090737E" w:rsidRPr="00D15120" w:rsidRDefault="0090737E" w:rsidP="0090737E">
            <w:pPr>
              <w:spacing w:before="120" w:after="120"/>
              <w:rPr>
                <w:sz w:val="18"/>
                <w:szCs w:val="18"/>
              </w:rPr>
            </w:pPr>
            <w:r w:rsidRPr="000B33F3">
              <w:rPr>
                <w:vertAlign w:val="superscript"/>
              </w:rPr>
              <w:t>2</w:t>
            </w:r>
            <w:r w:rsidRPr="000B33F3">
              <w:rPr>
                <w:sz w:val="16"/>
                <w:szCs w:val="16"/>
              </w:rPr>
              <w:t>Results for Total Trihalomethanes (TTHMs) and Total Haloacetic Acids (HAA5s) are reported as the highest locational running annual average.  The range of detection is shown below the average</w:t>
            </w:r>
          </w:p>
        </w:tc>
      </w:tr>
    </w:tbl>
    <w:p w:rsidR="007A5175" w:rsidRPr="00655A8F" w:rsidRDefault="002326A8" w:rsidP="007A5175">
      <w:pPr>
        <w:pStyle w:val="Heading1"/>
        <w:spacing w:before="120"/>
        <w:jc w:val="both"/>
        <w:rPr>
          <w:b w:val="0"/>
          <w:szCs w:val="28"/>
        </w:rPr>
      </w:pPr>
      <w:r>
        <w:rPr>
          <w:rFonts w:ascii="Times New Roman" w:hAnsi="Times New Roman"/>
          <w:bCs/>
          <w:smallCaps/>
        </w:rPr>
        <w:br w:type="page"/>
      </w:r>
    </w:p>
    <w:p w:rsidR="005F1AA3" w:rsidRPr="00655A8F" w:rsidRDefault="005F1AA3" w:rsidP="005F1AA3">
      <w:pPr>
        <w:jc w:val="both"/>
        <w:rPr>
          <w:b/>
          <w:sz w:val="28"/>
          <w:szCs w:val="28"/>
        </w:rPr>
      </w:pPr>
      <w:r w:rsidRPr="00655A8F">
        <w:rPr>
          <w:b/>
          <w:sz w:val="28"/>
          <w:szCs w:val="28"/>
        </w:rPr>
        <w:lastRenderedPageBreak/>
        <w:t>Definitions:</w:t>
      </w:r>
    </w:p>
    <w:p w:rsidR="005F1AA3" w:rsidRPr="00655A8F" w:rsidRDefault="005F1AA3" w:rsidP="005F1AA3">
      <w:pPr>
        <w:jc w:val="both"/>
      </w:pPr>
    </w:p>
    <w:p w:rsidR="005F1AA3" w:rsidRPr="000C48F5" w:rsidRDefault="005F1AA3" w:rsidP="005F1AA3">
      <w:pPr>
        <w:spacing w:after="80"/>
      </w:pPr>
      <w:r w:rsidRPr="000C48F5">
        <w:rPr>
          <w:b/>
          <w:i/>
          <w:u w:val="single"/>
        </w:rPr>
        <w:t>Maximum Contaminant Level (MCL)</w:t>
      </w:r>
      <w:r w:rsidRPr="000C48F5">
        <w:t>:  The highest level of a contaminant that is allowed in drinking water.  MCLs are set as close to the MCLGs as feasible.</w:t>
      </w:r>
    </w:p>
    <w:p w:rsidR="005F1AA3" w:rsidRPr="000C48F5" w:rsidRDefault="005F1AA3" w:rsidP="005F1AA3">
      <w:pPr>
        <w:spacing w:after="80"/>
      </w:pPr>
      <w:r w:rsidRPr="000C48F5">
        <w:rPr>
          <w:b/>
          <w:i/>
          <w:u w:val="single"/>
        </w:rPr>
        <w:t>Maximum Contaminant Level Goal (MCLG)</w:t>
      </w:r>
      <w:r w:rsidRPr="000C48F5">
        <w:t>:  The level of a contaminant in drinking water below which there is no known or expected risk to health.  MCLGs allow for a margin of safety.</w:t>
      </w:r>
    </w:p>
    <w:p w:rsidR="005F1AA3" w:rsidRPr="000C48F5" w:rsidRDefault="005F1AA3" w:rsidP="005F1AA3">
      <w:pPr>
        <w:spacing w:after="80"/>
      </w:pPr>
      <w:r w:rsidRPr="000C48F5">
        <w:rPr>
          <w:b/>
          <w:i/>
          <w:u w:val="single"/>
        </w:rPr>
        <w:t>Maximum Residual Disinfectant Level (MRDL)</w:t>
      </w:r>
      <w:r w:rsidRPr="000C48F5">
        <w:t>:  The highest level of a disinfectant allowed in drinking water.  There is convincing evidence that addition of a disinfectant is necessary for control of microbial contaminants.</w:t>
      </w:r>
    </w:p>
    <w:p w:rsidR="005F1AA3" w:rsidRPr="000C48F5" w:rsidRDefault="005F1AA3" w:rsidP="005F1AA3">
      <w:pPr>
        <w:spacing w:after="80"/>
      </w:pPr>
      <w:r w:rsidRPr="000C48F5">
        <w:rPr>
          <w:b/>
          <w:i/>
          <w:u w:val="single"/>
        </w:rPr>
        <w:t>Maximum Residual Disinfectant Level Goal (MRDLG)</w:t>
      </w:r>
      <w:r w:rsidRPr="000C48F5">
        <w:t>:  The level of a drinking water disinfectant below which there is no known or expected risk to health.  MRDLGs do not reflect the benefits of the use of disinfectants to control microbial contamination.</w:t>
      </w:r>
    </w:p>
    <w:p w:rsidR="005F1AA3" w:rsidRPr="000C48F5" w:rsidRDefault="005F1AA3" w:rsidP="005F1AA3">
      <w:pPr>
        <w:spacing w:after="80"/>
      </w:pPr>
      <w:r w:rsidRPr="000C48F5">
        <w:rPr>
          <w:b/>
          <w:i/>
          <w:u w:val="single"/>
        </w:rPr>
        <w:t>Action Level (AL)</w:t>
      </w:r>
      <w:r w:rsidRPr="000C48F5">
        <w:t>:  The concentration of a contaminant which, if exceeded, triggers treatment or other requirements which a water system must follow.</w:t>
      </w:r>
    </w:p>
    <w:p w:rsidR="005F1AA3" w:rsidRPr="000C48F5" w:rsidRDefault="005F1AA3" w:rsidP="005F1AA3">
      <w:pPr>
        <w:spacing w:after="80"/>
      </w:pPr>
      <w:r w:rsidRPr="000C48F5">
        <w:rPr>
          <w:b/>
          <w:i/>
          <w:u w:val="single"/>
        </w:rPr>
        <w:t>Treatment Technique (TT)</w:t>
      </w:r>
      <w:r w:rsidRPr="000C48F5">
        <w:t>:  A required process intended to reduce the level of a contaminant in drinking water.</w:t>
      </w:r>
    </w:p>
    <w:p w:rsidR="005F1AA3" w:rsidRPr="000C48F5" w:rsidRDefault="005F1AA3" w:rsidP="005F1AA3">
      <w:pPr>
        <w:spacing w:after="80"/>
      </w:pPr>
      <w:r w:rsidRPr="000C48F5">
        <w:rPr>
          <w:b/>
          <w:i/>
          <w:u w:val="single"/>
        </w:rPr>
        <w:t>Non-Detects (ND)</w:t>
      </w:r>
      <w:r w:rsidRPr="000C48F5">
        <w:t>: Laboratory analysis indicates that the constituent is not present.</w:t>
      </w:r>
    </w:p>
    <w:p w:rsidR="00D82A06" w:rsidRDefault="00D82A06" w:rsidP="005F1AA3">
      <w:pPr>
        <w:spacing w:after="80"/>
      </w:pPr>
      <w:r>
        <w:rPr>
          <w:b/>
          <w:i/>
          <w:u w:val="single"/>
        </w:rPr>
        <w:t xml:space="preserve">NE:  </w:t>
      </w:r>
      <w:r w:rsidRPr="00D82A06">
        <w:t>Not Established</w:t>
      </w:r>
    </w:p>
    <w:p w:rsidR="00D82A06" w:rsidRDefault="00D82A06" w:rsidP="005F1AA3">
      <w:pPr>
        <w:spacing w:after="80"/>
        <w:rPr>
          <w:b/>
          <w:i/>
          <w:u w:val="single"/>
        </w:rPr>
      </w:pPr>
      <w:r w:rsidRPr="00D82A06">
        <w:rPr>
          <w:b/>
          <w:i/>
          <w:u w:val="single"/>
        </w:rPr>
        <w:t>NR</w:t>
      </w:r>
      <w:r>
        <w:t>:  Not Regulated</w:t>
      </w:r>
    </w:p>
    <w:p w:rsidR="005F1AA3" w:rsidRPr="000C48F5" w:rsidRDefault="005F1AA3" w:rsidP="005F1AA3">
      <w:pPr>
        <w:spacing w:after="80"/>
      </w:pPr>
      <w:r w:rsidRPr="000C48F5">
        <w:rPr>
          <w:b/>
          <w:i/>
          <w:u w:val="single"/>
        </w:rPr>
        <w:t>Nephelometric Turbidity Unit (NTU)</w:t>
      </w:r>
      <w:r w:rsidRPr="000C48F5">
        <w:t>:  A measure of the clarity of water. Turbidity in excess of 5 NTU is just noticeable to the average person.</w:t>
      </w:r>
    </w:p>
    <w:p w:rsidR="005F1AA3" w:rsidRPr="000C48F5" w:rsidRDefault="005F1AA3" w:rsidP="005F1AA3">
      <w:pPr>
        <w:spacing w:after="80"/>
      </w:pPr>
      <w:r w:rsidRPr="000C48F5">
        <w:rPr>
          <w:b/>
          <w:i/>
          <w:u w:val="single"/>
        </w:rPr>
        <w:t>Milligrams per liter (mg/l)</w:t>
      </w:r>
      <w:r w:rsidRPr="000C48F5">
        <w:t>:  Corresponds to one part of liquid in one million parts of liquid (parts per million - ppm).</w:t>
      </w:r>
    </w:p>
    <w:p w:rsidR="005F1AA3" w:rsidRPr="000C48F5" w:rsidRDefault="005F1AA3" w:rsidP="005F1AA3">
      <w:pPr>
        <w:spacing w:after="80"/>
      </w:pPr>
      <w:r w:rsidRPr="000C48F5">
        <w:rPr>
          <w:b/>
          <w:i/>
          <w:u w:val="single"/>
        </w:rPr>
        <w:t>Micrograms per liter (ug/l)</w:t>
      </w:r>
      <w:r w:rsidRPr="000C48F5">
        <w:t>:  Corresponds to one part of liquid in one billion parts of liquid (parts per billion - ppb).</w:t>
      </w:r>
    </w:p>
    <w:p w:rsidR="005F1AA3" w:rsidRDefault="005F1AA3" w:rsidP="005F1AA3">
      <w:pPr>
        <w:spacing w:after="80"/>
      </w:pPr>
      <w:r w:rsidRPr="000C48F5">
        <w:rPr>
          <w:b/>
          <w:i/>
          <w:u w:val="single"/>
        </w:rPr>
        <w:t>Picocuries per liter (pCi/L)</w:t>
      </w:r>
      <w:r w:rsidRPr="000C48F5">
        <w:t>:  A measure of the radioactivity in water.</w:t>
      </w:r>
    </w:p>
    <w:p w:rsidR="005F1AA3" w:rsidRDefault="005F1AA3" w:rsidP="005F1AA3">
      <w:pPr>
        <w:spacing w:after="80"/>
      </w:pPr>
    </w:p>
    <w:p w:rsidR="005F1AA3" w:rsidRPr="000C48F5" w:rsidRDefault="005F1AA3" w:rsidP="005F1AA3">
      <w:pPr>
        <w:spacing w:after="80"/>
      </w:pPr>
    </w:p>
    <w:p w:rsidR="005F1AA3" w:rsidRPr="00521C81" w:rsidRDefault="005F1AA3" w:rsidP="005F1AA3">
      <w:pPr>
        <w:jc w:val="both"/>
        <w:rPr>
          <w:b/>
          <w:sz w:val="28"/>
        </w:rPr>
      </w:pPr>
      <w:r w:rsidRPr="00521C81">
        <w:rPr>
          <w:b/>
          <w:sz w:val="28"/>
        </w:rPr>
        <w:t>WHAT DOES THIS INFORMATION MEAN?</w:t>
      </w:r>
    </w:p>
    <w:p w:rsidR="005F1AA3" w:rsidRPr="002D58DB" w:rsidRDefault="005F1AA3" w:rsidP="005F1AA3">
      <w:pPr>
        <w:jc w:val="both"/>
        <w:rPr>
          <w:b/>
          <w:sz w:val="12"/>
        </w:rPr>
      </w:pPr>
    </w:p>
    <w:p w:rsidR="005F1AA3" w:rsidRDefault="005F1AA3" w:rsidP="005F1AA3">
      <w:pPr>
        <w:jc w:val="both"/>
        <w:rPr>
          <w:sz w:val="22"/>
        </w:rPr>
      </w:pPr>
      <w:r w:rsidRPr="00974007">
        <w:rPr>
          <w:sz w:val="22"/>
          <w:szCs w:val="22"/>
        </w:rPr>
        <w:t>As</w:t>
      </w:r>
      <w:r w:rsidRPr="002D58DB">
        <w:rPr>
          <w:sz w:val="22"/>
          <w:szCs w:val="22"/>
        </w:rPr>
        <w:t xml:space="preserve"> you</w:t>
      </w:r>
      <w:r w:rsidRPr="002D58DB">
        <w:rPr>
          <w:sz w:val="24"/>
        </w:rPr>
        <w:t xml:space="preserve"> </w:t>
      </w:r>
      <w:r>
        <w:rPr>
          <w:sz w:val="22"/>
        </w:rPr>
        <w:t xml:space="preserve">can see by the table, our system had no violations.  We are proud that your drinking water meets or exceeds all federal or state requirements.  We have learned through our testing that some contaminants have been detected; however, most of these contaminants were detected below the level allowed by New York State.  It should be noted that the action level for lead was exceeded in three (3) of the 50 samples collected in 2014.  Therefore, we are required to present the following information on lead in drinking water: </w:t>
      </w:r>
    </w:p>
    <w:p w:rsidR="005F1AA3" w:rsidRDefault="005F1AA3" w:rsidP="005F1AA3">
      <w:pPr>
        <w:jc w:val="both"/>
        <w:rPr>
          <w:sz w:val="22"/>
        </w:rPr>
      </w:pPr>
    </w:p>
    <w:p w:rsidR="005F1AA3" w:rsidRDefault="005F1AA3" w:rsidP="005F1AA3">
      <w:pPr>
        <w:jc w:val="both"/>
        <w:rPr>
          <w:sz w:val="22"/>
        </w:rPr>
      </w:pPr>
      <w:r>
        <w:rPr>
          <w:sz w:val="22"/>
        </w:rPr>
        <w:t>If present, elevated levels of lead can cause serious health problems, especially for pregnant women, infants, and young children.  It is possible that lead levels at your home may be higher than at other homes in the community as a result of materials used in your home’s plumbing</w:t>
      </w:r>
      <w:r w:rsidRPr="00F40FA5">
        <w:rPr>
          <w:sz w:val="22"/>
        </w:rPr>
        <w:t>.  The Niagara County Water District</w:t>
      </w:r>
      <w:r>
        <w:rPr>
          <w:sz w:val="22"/>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(1-800-426-4791) or at </w:t>
      </w:r>
      <w:r>
        <w:rPr>
          <w:sz w:val="22"/>
          <w:u w:val="single"/>
        </w:rPr>
        <w:t>http://www.epa.gov/safewater/lead</w:t>
      </w:r>
      <w:r>
        <w:rPr>
          <w:sz w:val="22"/>
        </w:rPr>
        <w:t>.</w:t>
      </w:r>
    </w:p>
    <w:p w:rsidR="005F1AA3" w:rsidRPr="00521C81" w:rsidRDefault="005F1AA3" w:rsidP="005F1AA3">
      <w:pPr>
        <w:jc w:val="both"/>
      </w:pPr>
    </w:p>
    <w:p w:rsidR="007A5175" w:rsidRDefault="007A5175" w:rsidP="005F1AA3">
      <w:pPr>
        <w:jc w:val="both"/>
        <w:rPr>
          <w:b/>
          <w:sz w:val="28"/>
        </w:rPr>
      </w:pPr>
    </w:p>
    <w:p w:rsidR="007A5175" w:rsidRDefault="007A5175" w:rsidP="005F1AA3">
      <w:pPr>
        <w:jc w:val="both"/>
        <w:rPr>
          <w:b/>
          <w:sz w:val="28"/>
        </w:rPr>
      </w:pPr>
    </w:p>
    <w:p w:rsidR="00C553B5" w:rsidRDefault="00C553B5" w:rsidP="005F1AA3">
      <w:pPr>
        <w:jc w:val="both"/>
        <w:rPr>
          <w:b/>
          <w:sz w:val="28"/>
        </w:rPr>
      </w:pPr>
    </w:p>
    <w:p w:rsidR="00C553B5" w:rsidRDefault="00C553B5" w:rsidP="005F1AA3">
      <w:pPr>
        <w:jc w:val="both"/>
        <w:rPr>
          <w:b/>
          <w:sz w:val="28"/>
        </w:rPr>
      </w:pPr>
    </w:p>
    <w:p w:rsidR="005F1AA3" w:rsidRDefault="005F1AA3" w:rsidP="005F1AA3">
      <w:pPr>
        <w:jc w:val="both"/>
        <w:rPr>
          <w:b/>
          <w:sz w:val="28"/>
        </w:rPr>
      </w:pPr>
      <w:r>
        <w:rPr>
          <w:b/>
          <w:sz w:val="28"/>
        </w:rPr>
        <w:lastRenderedPageBreak/>
        <w:t>IS OUR WATER SYSTEM MEETING OTHER RULES THAT GOVERN OPERATIONS?</w:t>
      </w:r>
    </w:p>
    <w:p w:rsidR="005F1AA3" w:rsidRPr="002D58DB" w:rsidRDefault="005F1AA3" w:rsidP="005F1AA3">
      <w:pPr>
        <w:jc w:val="both"/>
        <w:rPr>
          <w:b/>
          <w:sz w:val="12"/>
        </w:rPr>
      </w:pPr>
    </w:p>
    <w:p w:rsidR="005F1AA3" w:rsidRDefault="005F1AA3" w:rsidP="005F1AA3">
      <w:pPr>
        <w:jc w:val="both"/>
        <w:rPr>
          <w:sz w:val="22"/>
        </w:rPr>
      </w:pPr>
      <w:r>
        <w:rPr>
          <w:sz w:val="22"/>
        </w:rPr>
        <w:t>During 2014, our system was in compliance with applicable State drinking water operating, monitoring and reporting requirements.</w:t>
      </w:r>
    </w:p>
    <w:p w:rsidR="005F1AA3" w:rsidRDefault="005F1AA3" w:rsidP="005F1AA3">
      <w:pPr>
        <w:jc w:val="both"/>
      </w:pPr>
    </w:p>
    <w:p w:rsidR="009626C8" w:rsidRDefault="009626C8" w:rsidP="005F1AA3">
      <w:pPr>
        <w:jc w:val="both"/>
      </w:pPr>
    </w:p>
    <w:p w:rsidR="009626C8" w:rsidRPr="00521C81" w:rsidRDefault="009626C8" w:rsidP="005F1AA3">
      <w:pPr>
        <w:jc w:val="both"/>
      </w:pPr>
    </w:p>
    <w:p w:rsidR="005F1AA3" w:rsidRDefault="005F1AA3" w:rsidP="005F1AA3">
      <w:pPr>
        <w:jc w:val="both"/>
        <w:rPr>
          <w:b/>
          <w:sz w:val="28"/>
        </w:rPr>
      </w:pPr>
      <w:r>
        <w:rPr>
          <w:b/>
          <w:sz w:val="28"/>
        </w:rPr>
        <w:t>DO I NEED TO TAKE SPECIAL PRECAUTIONS?</w:t>
      </w:r>
    </w:p>
    <w:p w:rsidR="005F1AA3" w:rsidRPr="002D58DB" w:rsidRDefault="005F1AA3" w:rsidP="005F1AA3">
      <w:pPr>
        <w:jc w:val="both"/>
        <w:rPr>
          <w:b/>
          <w:sz w:val="12"/>
        </w:rPr>
      </w:pPr>
    </w:p>
    <w:p w:rsidR="005F1AA3" w:rsidRDefault="005F1AA3" w:rsidP="005F1AA3">
      <w:pPr>
        <w:jc w:val="both"/>
        <w:rPr>
          <w:sz w:val="22"/>
        </w:rPr>
      </w:pPr>
      <w:r>
        <w:rPr>
          <w:sz w:val="22"/>
        </w:rPr>
        <w:t>Although our drinking water met or exceeded state and federal regulations, some people may be more vulnerable to disease causing microorganisms or pathogens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from their health care provider about their drinking water.  EPA/CDC guidelines on appropriate means to lessen the risk of infection by Cryptosporidium, Giardia and other microbial pathogens are available from the Safe Drinking Water Hotline (800-426-4791).</w:t>
      </w:r>
    </w:p>
    <w:p w:rsidR="005F1AA3" w:rsidRPr="00521C81" w:rsidRDefault="005F1AA3" w:rsidP="005F1AA3">
      <w:pPr>
        <w:jc w:val="both"/>
      </w:pPr>
    </w:p>
    <w:p w:rsidR="005F1AA3" w:rsidRDefault="005F1AA3" w:rsidP="005F1AA3">
      <w:pPr>
        <w:jc w:val="both"/>
        <w:rPr>
          <w:b/>
          <w:sz w:val="28"/>
        </w:rPr>
      </w:pPr>
      <w:r>
        <w:rPr>
          <w:b/>
          <w:sz w:val="28"/>
        </w:rPr>
        <w:t>INFORMATION ON FLUORIDE ADDITION</w:t>
      </w:r>
    </w:p>
    <w:p w:rsidR="005F1AA3" w:rsidRPr="002D58DB" w:rsidRDefault="005F1AA3" w:rsidP="005F1AA3">
      <w:pPr>
        <w:jc w:val="both"/>
        <w:rPr>
          <w:b/>
          <w:sz w:val="12"/>
        </w:rPr>
      </w:pPr>
    </w:p>
    <w:p w:rsidR="005F1AA3" w:rsidRDefault="005F1AA3" w:rsidP="005F1AA3">
      <w:pPr>
        <w:jc w:val="both"/>
        <w:rPr>
          <w:sz w:val="22"/>
        </w:rPr>
      </w:pPr>
      <w:r w:rsidRPr="00BA2308">
        <w:rPr>
          <w:sz w:val="22"/>
        </w:rPr>
        <w:t>Our system is one of the many drinking water systems in New York State that provides drinking water with a controlled, low level of fluoride for consumer dental health protection.  According to the United States Centers for Disease Control, fluoride is very effective in preventing cavities when present in drinking water at an optimal range from 0.8 to 1.2 mg/l (parts per million).  To ensure that the fluoride supplement in your water provides optimal dental protection, the State Department of Health requires that we monitor fluoride levels on a daily basis.  During 2014 monitoring showed fluoride levels in your water were in the optimal range 100 % of the time.  None of the monitoring results showed fluoride at levels that approach the 2.2 mg/l MCL for fluoride.</w:t>
      </w:r>
    </w:p>
    <w:p w:rsidR="00AA1F2B" w:rsidRPr="00521C81" w:rsidRDefault="00AA1F2B" w:rsidP="00073FE8">
      <w:pPr>
        <w:jc w:val="both"/>
      </w:pPr>
    </w:p>
    <w:p w:rsidR="005F1AA3" w:rsidRDefault="005F1AA3" w:rsidP="005F1AA3">
      <w:pPr>
        <w:jc w:val="both"/>
        <w:rPr>
          <w:b/>
          <w:sz w:val="28"/>
        </w:rPr>
      </w:pPr>
      <w:r>
        <w:rPr>
          <w:b/>
          <w:sz w:val="28"/>
        </w:rPr>
        <w:t>WHY SAVE WATER AND HOW TO AVOID WASTING IT?</w:t>
      </w:r>
    </w:p>
    <w:p w:rsidR="005F1AA3" w:rsidRPr="007837B1" w:rsidRDefault="005F1AA3" w:rsidP="005F1AA3">
      <w:pPr>
        <w:jc w:val="both"/>
        <w:rPr>
          <w:b/>
          <w:sz w:val="12"/>
        </w:rPr>
      </w:pPr>
    </w:p>
    <w:p w:rsidR="005F1AA3" w:rsidRDefault="005F1AA3" w:rsidP="005F1AA3">
      <w:pPr>
        <w:jc w:val="both"/>
        <w:rPr>
          <w:sz w:val="22"/>
        </w:rPr>
      </w:pPr>
      <w:r>
        <w:rPr>
          <w:sz w:val="22"/>
        </w:rPr>
        <w:t>Although our system has an adequate amount of water to meet present and future demands, there are a number of reasons why it is important to conserve water:</w:t>
      </w:r>
    </w:p>
    <w:p w:rsidR="005F1AA3" w:rsidRDefault="005F1AA3" w:rsidP="005F1AA3">
      <w:pPr>
        <w:numPr>
          <w:ilvl w:val="0"/>
          <w:numId w:val="1"/>
        </w:numPr>
        <w:tabs>
          <w:tab w:val="clear" w:pos="432"/>
          <w:tab w:val="num" w:pos="360"/>
        </w:tabs>
        <w:ind w:left="360" w:hanging="360"/>
        <w:jc w:val="both"/>
        <w:rPr>
          <w:sz w:val="22"/>
        </w:rPr>
      </w:pPr>
      <w:r>
        <w:rPr>
          <w:sz w:val="22"/>
        </w:rPr>
        <w:t>Saving water saves energy and some of the costs associated with both of these necessities of life;</w:t>
      </w:r>
    </w:p>
    <w:p w:rsidR="005F1AA3" w:rsidRDefault="005F1AA3" w:rsidP="005F1AA3">
      <w:pPr>
        <w:numPr>
          <w:ilvl w:val="0"/>
          <w:numId w:val="1"/>
        </w:numPr>
        <w:tabs>
          <w:tab w:val="clear" w:pos="432"/>
          <w:tab w:val="num" w:pos="360"/>
        </w:tabs>
        <w:ind w:left="360" w:hanging="360"/>
        <w:jc w:val="both"/>
        <w:rPr>
          <w:sz w:val="22"/>
        </w:rPr>
      </w:pPr>
      <w:r>
        <w:rPr>
          <w:sz w:val="22"/>
        </w:rPr>
        <w:t>Saving water reduces the cost of energy required to pump water and the need</w:t>
      </w:r>
      <w:r w:rsidR="00F161BF">
        <w:rPr>
          <w:sz w:val="22"/>
        </w:rPr>
        <w:t xml:space="preserve"> to construct costly new wells , </w:t>
      </w:r>
      <w:r>
        <w:rPr>
          <w:sz w:val="22"/>
        </w:rPr>
        <w:t>pumping systems and water towers; and</w:t>
      </w:r>
    </w:p>
    <w:p w:rsidR="005F1AA3" w:rsidRDefault="005F1AA3" w:rsidP="005F1AA3">
      <w:pPr>
        <w:numPr>
          <w:ilvl w:val="0"/>
          <w:numId w:val="1"/>
        </w:numPr>
        <w:tabs>
          <w:tab w:val="clear" w:pos="432"/>
          <w:tab w:val="num" w:pos="360"/>
        </w:tabs>
        <w:ind w:left="360" w:hanging="360"/>
        <w:jc w:val="both"/>
        <w:rPr>
          <w:sz w:val="22"/>
        </w:rPr>
      </w:pPr>
      <w:r>
        <w:rPr>
          <w:sz w:val="22"/>
        </w:rPr>
        <w:t>Saving water lessens the strain on the water system during a dry spell or drought, helping to avoid severe water use restrictions so that essential fire fighting needs are met.</w:t>
      </w:r>
    </w:p>
    <w:p w:rsidR="005F1AA3" w:rsidRDefault="005F1AA3" w:rsidP="005F1AA3">
      <w:pPr>
        <w:jc w:val="both"/>
        <w:rPr>
          <w:sz w:val="22"/>
        </w:rPr>
      </w:pPr>
    </w:p>
    <w:p w:rsidR="005F1AA3" w:rsidRDefault="005F1AA3" w:rsidP="005F1AA3">
      <w:pPr>
        <w:jc w:val="both"/>
        <w:rPr>
          <w:sz w:val="22"/>
        </w:rPr>
      </w:pPr>
      <w:r>
        <w:rPr>
          <w:sz w:val="22"/>
        </w:rPr>
        <w:t>You can play a role in conserving water by becoming conscious of the amount of water your household is using, and by looking for ways to use less whenever you can.  It is not hard to conserve water.  Conservation tips include:</w:t>
      </w:r>
    </w:p>
    <w:p w:rsidR="005F1AA3" w:rsidRDefault="005F1AA3" w:rsidP="005F1AA3">
      <w:pPr>
        <w:numPr>
          <w:ilvl w:val="0"/>
          <w:numId w:val="2"/>
        </w:numPr>
        <w:jc w:val="both"/>
        <w:rPr>
          <w:sz w:val="22"/>
        </w:rPr>
      </w:pPr>
      <w:r>
        <w:rPr>
          <w:sz w:val="22"/>
        </w:rPr>
        <w:t>Automatic dishwashers use 15 gallons for every cycle, regardless of how many dishes are loaded.  So get a run for your money and load it to capacity.</w:t>
      </w:r>
    </w:p>
    <w:p w:rsidR="005F1AA3" w:rsidRDefault="005F1AA3" w:rsidP="005F1AA3">
      <w:pPr>
        <w:numPr>
          <w:ilvl w:val="0"/>
          <w:numId w:val="2"/>
        </w:numPr>
        <w:jc w:val="both"/>
        <w:rPr>
          <w:sz w:val="22"/>
        </w:rPr>
      </w:pPr>
      <w:r>
        <w:rPr>
          <w:sz w:val="22"/>
        </w:rPr>
        <w:t>Turn off the tap when brushing your teeth.</w:t>
      </w:r>
    </w:p>
    <w:p w:rsidR="005F1AA3" w:rsidRDefault="005F1AA3" w:rsidP="005F1AA3">
      <w:pPr>
        <w:numPr>
          <w:ilvl w:val="0"/>
          <w:numId w:val="2"/>
        </w:numPr>
        <w:jc w:val="both"/>
        <w:rPr>
          <w:sz w:val="22"/>
        </w:rPr>
      </w:pPr>
      <w:r>
        <w:rPr>
          <w:sz w:val="22"/>
        </w:rPr>
        <w:t>Check every faucet in your home for leaks.  Just a slow drip can waste 15 to 20 gallons a day.  Fix it and you can save almost 6,000 gallons per year.</w:t>
      </w:r>
    </w:p>
    <w:p w:rsidR="005F1AA3" w:rsidRDefault="005F1AA3" w:rsidP="005F1AA3">
      <w:pPr>
        <w:numPr>
          <w:ilvl w:val="0"/>
          <w:numId w:val="2"/>
        </w:numPr>
        <w:jc w:val="both"/>
        <w:rPr>
          <w:sz w:val="22"/>
        </w:rPr>
      </w:pPr>
      <w:r>
        <w:rPr>
          <w:sz w:val="22"/>
        </w:rPr>
        <w:t>Check your toilets for leaks by putting a few drops of food coloring in the tank, watch for a few minutes to see if the color shows up in the bowl.  It is not uncommon to lose up to 100 gallons a day from one of these otherwise invisible toilet leaks.  Fix it and you save more than 30,000 gallons a year.</w:t>
      </w:r>
    </w:p>
    <w:p w:rsidR="005F1AA3" w:rsidRDefault="005F1AA3" w:rsidP="005F1AA3">
      <w:pPr>
        <w:numPr>
          <w:ilvl w:val="0"/>
          <w:numId w:val="2"/>
        </w:numPr>
        <w:jc w:val="both"/>
        <w:rPr>
          <w:sz w:val="22"/>
        </w:rPr>
      </w:pPr>
      <w:r>
        <w:rPr>
          <w:sz w:val="22"/>
        </w:rPr>
        <w:t>Use your water meter to detect hidden leaks.  Simply turn off all taps and water using appliances, and then check the meter after 15 minutes.  If it moved, you have a leak.</w:t>
      </w:r>
    </w:p>
    <w:p w:rsidR="005F1AA3" w:rsidRPr="00F52D35" w:rsidRDefault="005F1AA3" w:rsidP="005F1AA3">
      <w:pPr>
        <w:jc w:val="both"/>
      </w:pPr>
    </w:p>
    <w:p w:rsidR="005F1AA3" w:rsidRDefault="005F1AA3" w:rsidP="005F1AA3">
      <w:pPr>
        <w:jc w:val="both"/>
        <w:rPr>
          <w:b/>
          <w:sz w:val="28"/>
        </w:rPr>
      </w:pPr>
      <w:r>
        <w:rPr>
          <w:b/>
          <w:sz w:val="28"/>
        </w:rPr>
        <w:t>SYSTEM IMPROVEMENTS</w:t>
      </w:r>
    </w:p>
    <w:p w:rsidR="005F1AA3" w:rsidRPr="007837B1" w:rsidRDefault="005F1AA3" w:rsidP="005F1AA3">
      <w:pPr>
        <w:jc w:val="both"/>
        <w:rPr>
          <w:sz w:val="12"/>
        </w:rPr>
      </w:pPr>
    </w:p>
    <w:p w:rsidR="005F1AA3" w:rsidRPr="00E96609" w:rsidRDefault="005F1AA3" w:rsidP="005F1AA3">
      <w:pPr>
        <w:jc w:val="both"/>
        <w:rPr>
          <w:sz w:val="22"/>
        </w:rPr>
      </w:pPr>
      <w:r w:rsidRPr="00EE3012">
        <w:rPr>
          <w:sz w:val="22"/>
        </w:rPr>
        <w:t xml:space="preserve">In 2014, the NCWD completed the replacement of the filter sweeps feeding the Water Treatment Plant, waterline installation, and upgrades to the generator building ventilation.  Construction has started on a new chemical containment building at the Water Treatment Plant.  </w:t>
      </w:r>
      <w:r>
        <w:rPr>
          <w:sz w:val="22"/>
        </w:rPr>
        <w:t>Additionally, t</w:t>
      </w:r>
      <w:r w:rsidRPr="00EE3012">
        <w:rPr>
          <w:sz w:val="22"/>
        </w:rPr>
        <w:t xml:space="preserve">he NCWD is currently developing plans for the extension of the transmission main through the Towns of Pendleton, Lockport, and Royalton to provide redundancy and </w:t>
      </w:r>
      <w:r>
        <w:rPr>
          <w:sz w:val="22"/>
        </w:rPr>
        <w:t>increased</w:t>
      </w:r>
      <w:r w:rsidRPr="00EE3012">
        <w:rPr>
          <w:sz w:val="22"/>
        </w:rPr>
        <w:t xml:space="preserve"> capacity to the easte</w:t>
      </w:r>
      <w:r>
        <w:rPr>
          <w:sz w:val="22"/>
        </w:rPr>
        <w:t xml:space="preserve">rn section of the NCWD system.  </w:t>
      </w:r>
      <w:r w:rsidRPr="00EE3012">
        <w:rPr>
          <w:sz w:val="22"/>
        </w:rPr>
        <w:t>These improvements facilitate continuing efforts to maintain a safe and dependable water supply.</w:t>
      </w:r>
    </w:p>
    <w:p w:rsidR="00073FE8" w:rsidRDefault="00073FE8" w:rsidP="00073FE8">
      <w:pPr>
        <w:jc w:val="both"/>
        <w:rPr>
          <w:sz w:val="22"/>
        </w:rPr>
      </w:pPr>
    </w:p>
    <w:p w:rsidR="00073FE8" w:rsidRDefault="00073FE8" w:rsidP="00073FE8">
      <w:pPr>
        <w:jc w:val="both"/>
        <w:rPr>
          <w:b/>
          <w:sz w:val="28"/>
        </w:rPr>
      </w:pPr>
      <w:r>
        <w:rPr>
          <w:b/>
          <w:sz w:val="28"/>
        </w:rPr>
        <w:t>CLOSING</w:t>
      </w:r>
    </w:p>
    <w:p w:rsidR="00073FE8" w:rsidRPr="00F52D35" w:rsidRDefault="00073FE8" w:rsidP="00073FE8">
      <w:pPr>
        <w:jc w:val="both"/>
        <w:rPr>
          <w:sz w:val="22"/>
        </w:rPr>
      </w:pPr>
    </w:p>
    <w:p w:rsidR="005F1AA3" w:rsidRDefault="005F1AA3" w:rsidP="005F1AA3">
      <w:pPr>
        <w:jc w:val="both"/>
        <w:rPr>
          <w:sz w:val="22"/>
        </w:rPr>
      </w:pPr>
      <w:r>
        <w:rPr>
          <w:sz w:val="22"/>
        </w:rPr>
        <w:t xml:space="preserve">Thank you for allowing us to continue to provide your family with quality drinking water this year.  We ask that all our customers help us protect our water sources, which are the heart of our community.  Please call our office </w:t>
      </w:r>
      <w:r w:rsidR="006139C5">
        <w:rPr>
          <w:sz w:val="22"/>
        </w:rPr>
        <w:t xml:space="preserve">at (716) 625-8033 </w:t>
      </w:r>
      <w:r>
        <w:rPr>
          <w:sz w:val="22"/>
        </w:rPr>
        <w:t>if you have questions.</w:t>
      </w:r>
    </w:p>
    <w:p w:rsidR="006139C5" w:rsidRDefault="006139C5" w:rsidP="005F1AA3">
      <w:pPr>
        <w:jc w:val="both"/>
        <w:rPr>
          <w:sz w:val="22"/>
        </w:rPr>
      </w:pPr>
    </w:p>
    <w:p w:rsidR="006139C5" w:rsidRDefault="006139C5" w:rsidP="005F1AA3">
      <w:pPr>
        <w:jc w:val="both"/>
        <w:rPr>
          <w:sz w:val="22"/>
        </w:rPr>
      </w:pPr>
      <w:r>
        <w:rPr>
          <w:sz w:val="22"/>
        </w:rPr>
        <w:t>James Argo, Water Superintendent</w:t>
      </w:r>
    </w:p>
    <w:p w:rsidR="0073178F" w:rsidRDefault="0073178F">
      <w:pPr>
        <w:jc w:val="both"/>
      </w:pPr>
    </w:p>
    <w:sectPr w:rsidR="0073178F" w:rsidSect="00E904E1">
      <w:footerReference w:type="default" r:id="rId9"/>
      <w:footnotePr>
        <w:pos w:val="beneathText"/>
      </w:footnotePr>
      <w:pgSz w:w="12240" w:h="15840"/>
      <w:pgMar w:top="1440" w:right="1170" w:bottom="1440" w:left="9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CFD" w:rsidRDefault="003E2CFD" w:rsidP="00E904E1">
      <w:r>
        <w:separator/>
      </w:r>
    </w:p>
  </w:endnote>
  <w:endnote w:type="continuationSeparator" w:id="0">
    <w:p w:rsidR="003E2CFD" w:rsidRDefault="003E2CFD" w:rsidP="00E90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134" w:rsidRDefault="00D67134" w:rsidP="00A770BF">
    <w:pPr>
      <w:pStyle w:val="Footer"/>
      <w:framePr w:wrap="around" w:vAnchor="text" w:hAnchor="page" w:x="11147" w:y="-10"/>
      <w:rPr>
        <w:rStyle w:val="PageNumber"/>
      </w:rPr>
    </w:pPr>
    <w:r>
      <w:rPr>
        <w:rStyle w:val="PageNumber"/>
      </w:rPr>
      <w:fldChar w:fldCharType="begin"/>
    </w:r>
    <w:r>
      <w:rPr>
        <w:rStyle w:val="PageNumber"/>
      </w:rPr>
      <w:instrText xml:space="preserve">PAGE  </w:instrText>
    </w:r>
    <w:r>
      <w:rPr>
        <w:rStyle w:val="PageNumber"/>
      </w:rPr>
      <w:fldChar w:fldCharType="separate"/>
    </w:r>
    <w:r w:rsidR="002F1179">
      <w:rPr>
        <w:rStyle w:val="PageNumber"/>
        <w:noProof/>
      </w:rPr>
      <w:t>1</w:t>
    </w:r>
    <w:r>
      <w:rPr>
        <w:rStyle w:val="PageNumber"/>
      </w:rPr>
      <w:fldChar w:fldCharType="end"/>
    </w:r>
  </w:p>
  <w:p w:rsidR="00D67134" w:rsidRPr="0039775B" w:rsidRDefault="00D67134" w:rsidP="00485F34">
    <w:pPr>
      <w:pStyle w:val="Footer"/>
      <w:tabs>
        <w:tab w:val="right" w:pos="7470"/>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CFD" w:rsidRDefault="003E2CFD" w:rsidP="00E904E1">
      <w:r>
        <w:separator/>
      </w:r>
    </w:p>
  </w:footnote>
  <w:footnote w:type="continuationSeparator" w:id="0">
    <w:p w:rsidR="003E2CFD" w:rsidRDefault="003E2CFD" w:rsidP="00E904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2">
    <w:nsid w:val="00000003"/>
    <w:multiLevelType w:val="singleLevel"/>
    <w:tmpl w:val="00000003"/>
    <w:name w:val="WW8Num3"/>
    <w:lvl w:ilvl="0">
      <w:start w:val="1"/>
      <w:numFmt w:val="bullet"/>
      <w:lvlText w:val=""/>
      <w:lvlJc w:val="left"/>
      <w:pPr>
        <w:tabs>
          <w:tab w:val="num" w:pos="360"/>
        </w:tabs>
        <w:ind w:left="360" w:hanging="360"/>
      </w:pPr>
      <w:rPr>
        <w:rFonts w:ascii="Symbol" w:hAnsi="Symbol"/>
      </w:rPr>
    </w:lvl>
  </w:abstractNum>
  <w:abstractNum w:abstractNumId="3">
    <w:nsid w:val="04611E18"/>
    <w:multiLevelType w:val="singleLevel"/>
    <w:tmpl w:val="0409000F"/>
    <w:lvl w:ilvl="0">
      <w:start w:val="1"/>
      <w:numFmt w:val="decimal"/>
      <w:lvlText w:val="%1."/>
      <w:lvlJc w:val="left"/>
      <w:pPr>
        <w:tabs>
          <w:tab w:val="num" w:pos="360"/>
        </w:tabs>
        <w:ind w:left="360" w:hanging="360"/>
      </w:pPr>
    </w:lvl>
  </w:abstractNum>
  <w:abstractNum w:abstractNumId="4">
    <w:nsid w:val="065D5C24"/>
    <w:multiLevelType w:val="hybridMultilevel"/>
    <w:tmpl w:val="2D3CDFE6"/>
    <w:lvl w:ilvl="0" w:tplc="80EEC93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694091"/>
    <w:multiLevelType w:val="singleLevel"/>
    <w:tmpl w:val="5D2A8ECC"/>
    <w:lvl w:ilvl="0">
      <w:start w:val="1"/>
      <w:numFmt w:val="bullet"/>
      <w:lvlText w:val=""/>
      <w:lvlJc w:val="left"/>
      <w:pPr>
        <w:tabs>
          <w:tab w:val="num" w:pos="360"/>
        </w:tabs>
        <w:ind w:left="360" w:hanging="360"/>
      </w:pPr>
      <w:rPr>
        <w:rFonts w:ascii="Symbol" w:hAnsi="Symbol" w:hint="default"/>
        <w:sz w:val="16"/>
      </w:rPr>
    </w:lvl>
  </w:abstractNum>
  <w:abstractNum w:abstractNumId="6">
    <w:nsid w:val="18DB3B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D7961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8050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9B25A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2D0D78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E053C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D5766D2"/>
    <w:multiLevelType w:val="singleLevel"/>
    <w:tmpl w:val="5D2A8ECC"/>
    <w:lvl w:ilvl="0">
      <w:start w:val="1"/>
      <w:numFmt w:val="bullet"/>
      <w:lvlText w:val=""/>
      <w:lvlJc w:val="left"/>
      <w:pPr>
        <w:tabs>
          <w:tab w:val="num" w:pos="360"/>
        </w:tabs>
        <w:ind w:left="360" w:hanging="360"/>
      </w:pPr>
      <w:rPr>
        <w:rFonts w:ascii="Symbol" w:hAnsi="Symbol" w:hint="default"/>
        <w:sz w:val="16"/>
      </w:rPr>
    </w:lvl>
  </w:abstractNum>
  <w:abstractNum w:abstractNumId="13">
    <w:nsid w:val="3DAC3C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573113B"/>
    <w:multiLevelType w:val="singleLevel"/>
    <w:tmpl w:val="0409000F"/>
    <w:lvl w:ilvl="0">
      <w:start w:val="1"/>
      <w:numFmt w:val="decimal"/>
      <w:lvlText w:val="%1."/>
      <w:lvlJc w:val="left"/>
      <w:pPr>
        <w:tabs>
          <w:tab w:val="num" w:pos="360"/>
        </w:tabs>
        <w:ind w:left="360" w:hanging="360"/>
      </w:pPr>
      <w:rPr>
        <w:rFonts w:hint="default"/>
      </w:rPr>
    </w:lvl>
  </w:abstractNum>
  <w:abstractNum w:abstractNumId="15">
    <w:nsid w:val="47251D4E"/>
    <w:multiLevelType w:val="singleLevel"/>
    <w:tmpl w:val="B428F168"/>
    <w:lvl w:ilvl="0">
      <w:start w:val="1"/>
      <w:numFmt w:val="bullet"/>
      <w:lvlText w:val=""/>
      <w:lvlJc w:val="left"/>
      <w:pPr>
        <w:tabs>
          <w:tab w:val="num" w:pos="360"/>
        </w:tabs>
        <w:ind w:left="360" w:hanging="360"/>
      </w:pPr>
      <w:rPr>
        <w:rFonts w:ascii="Wingdings" w:hAnsi="Wingdings" w:hint="default"/>
        <w:sz w:val="18"/>
      </w:rPr>
    </w:lvl>
  </w:abstractNum>
  <w:abstractNum w:abstractNumId="16">
    <w:nsid w:val="4AC7084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7">
    <w:nsid w:val="553C34F6"/>
    <w:multiLevelType w:val="singleLevel"/>
    <w:tmpl w:val="5D2A8ECC"/>
    <w:lvl w:ilvl="0">
      <w:start w:val="1"/>
      <w:numFmt w:val="bullet"/>
      <w:lvlText w:val=""/>
      <w:lvlJc w:val="left"/>
      <w:pPr>
        <w:tabs>
          <w:tab w:val="num" w:pos="360"/>
        </w:tabs>
        <w:ind w:left="360" w:hanging="360"/>
      </w:pPr>
      <w:rPr>
        <w:rFonts w:ascii="Symbol" w:hAnsi="Symbol" w:hint="default"/>
        <w:sz w:val="16"/>
      </w:rPr>
    </w:lvl>
  </w:abstractNum>
  <w:abstractNum w:abstractNumId="18">
    <w:nsid w:val="59AD0E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5CE87439"/>
    <w:multiLevelType w:val="singleLevel"/>
    <w:tmpl w:val="5D2A8ECC"/>
    <w:lvl w:ilvl="0">
      <w:start w:val="1"/>
      <w:numFmt w:val="bullet"/>
      <w:lvlText w:val=""/>
      <w:lvlJc w:val="left"/>
      <w:pPr>
        <w:tabs>
          <w:tab w:val="num" w:pos="360"/>
        </w:tabs>
        <w:ind w:left="360" w:hanging="360"/>
      </w:pPr>
      <w:rPr>
        <w:rFonts w:ascii="Symbol" w:hAnsi="Symbol" w:hint="default"/>
        <w:sz w:val="16"/>
      </w:rPr>
    </w:lvl>
  </w:abstractNum>
  <w:abstractNum w:abstractNumId="20">
    <w:nsid w:val="5D844DF6"/>
    <w:multiLevelType w:val="singleLevel"/>
    <w:tmpl w:val="5D2A8ECC"/>
    <w:lvl w:ilvl="0">
      <w:start w:val="1"/>
      <w:numFmt w:val="bullet"/>
      <w:lvlText w:val=""/>
      <w:lvlJc w:val="left"/>
      <w:pPr>
        <w:tabs>
          <w:tab w:val="num" w:pos="360"/>
        </w:tabs>
        <w:ind w:left="360" w:hanging="360"/>
      </w:pPr>
      <w:rPr>
        <w:rFonts w:ascii="Symbol" w:hAnsi="Symbol" w:hint="default"/>
        <w:sz w:val="16"/>
      </w:rPr>
    </w:lvl>
  </w:abstractNum>
  <w:abstractNum w:abstractNumId="21">
    <w:nsid w:val="62F5255E"/>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2">
    <w:nsid w:val="63D3623E"/>
    <w:multiLevelType w:val="singleLevel"/>
    <w:tmpl w:val="5D2A8ECC"/>
    <w:lvl w:ilvl="0">
      <w:start w:val="1"/>
      <w:numFmt w:val="bullet"/>
      <w:lvlText w:val=""/>
      <w:lvlJc w:val="left"/>
      <w:pPr>
        <w:tabs>
          <w:tab w:val="num" w:pos="360"/>
        </w:tabs>
        <w:ind w:left="360" w:hanging="360"/>
      </w:pPr>
      <w:rPr>
        <w:rFonts w:ascii="Symbol" w:hAnsi="Symbol" w:hint="default"/>
        <w:sz w:val="16"/>
      </w:rPr>
    </w:lvl>
  </w:abstractNum>
  <w:abstractNum w:abstractNumId="23">
    <w:nsid w:val="7BAA72CD"/>
    <w:multiLevelType w:val="singleLevel"/>
    <w:tmpl w:val="5D2A8ECC"/>
    <w:lvl w:ilvl="0">
      <w:start w:val="1"/>
      <w:numFmt w:val="bullet"/>
      <w:lvlText w:val=""/>
      <w:lvlJc w:val="left"/>
      <w:pPr>
        <w:tabs>
          <w:tab w:val="num" w:pos="360"/>
        </w:tabs>
        <w:ind w:left="360" w:hanging="360"/>
      </w:pPr>
      <w:rPr>
        <w:rFonts w:ascii="Symbol" w:hAnsi="Symbol" w:hint="default"/>
        <w:sz w:val="16"/>
      </w:rPr>
    </w:lvl>
  </w:abstractNum>
  <w:num w:numId="1">
    <w:abstractNumId w:val="0"/>
  </w:num>
  <w:num w:numId="2">
    <w:abstractNumId w:val="1"/>
  </w:num>
  <w:num w:numId="3">
    <w:abstractNumId w:val="2"/>
  </w:num>
  <w:num w:numId="4">
    <w:abstractNumId w:val="9"/>
  </w:num>
  <w:num w:numId="5">
    <w:abstractNumId w:val="11"/>
  </w:num>
  <w:num w:numId="6">
    <w:abstractNumId w:val="18"/>
  </w:num>
  <w:num w:numId="7">
    <w:abstractNumId w:val="13"/>
  </w:num>
  <w:num w:numId="8">
    <w:abstractNumId w:val="10"/>
  </w:num>
  <w:num w:numId="9">
    <w:abstractNumId w:val="6"/>
  </w:num>
  <w:num w:numId="10">
    <w:abstractNumId w:val="8"/>
  </w:num>
  <w:num w:numId="11">
    <w:abstractNumId w:val="16"/>
  </w:num>
  <w:num w:numId="12">
    <w:abstractNumId w:val="21"/>
  </w:num>
  <w:num w:numId="13">
    <w:abstractNumId w:val="15"/>
  </w:num>
  <w:num w:numId="14">
    <w:abstractNumId w:val="3"/>
  </w:num>
  <w:num w:numId="15">
    <w:abstractNumId w:val="23"/>
  </w:num>
  <w:num w:numId="16">
    <w:abstractNumId w:val="22"/>
  </w:num>
  <w:num w:numId="17">
    <w:abstractNumId w:val="12"/>
  </w:num>
  <w:num w:numId="18">
    <w:abstractNumId w:val="17"/>
  </w:num>
  <w:num w:numId="19">
    <w:abstractNumId w:val="5"/>
  </w:num>
  <w:num w:numId="20">
    <w:abstractNumId w:val="20"/>
  </w:num>
  <w:num w:numId="21">
    <w:abstractNumId w:val="7"/>
  </w:num>
  <w:num w:numId="22">
    <w:abstractNumId w:val="19"/>
  </w:num>
  <w:num w:numId="23">
    <w:abstractNumId w:val="14"/>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374"/>
    <w:rsid w:val="00023241"/>
    <w:rsid w:val="00025B42"/>
    <w:rsid w:val="000473C8"/>
    <w:rsid w:val="00073FE8"/>
    <w:rsid w:val="000B33F3"/>
    <w:rsid w:val="000D7A0E"/>
    <w:rsid w:val="000E4D8F"/>
    <w:rsid w:val="000E525E"/>
    <w:rsid w:val="001134D9"/>
    <w:rsid w:val="001209A2"/>
    <w:rsid w:val="00132D57"/>
    <w:rsid w:val="00173FA1"/>
    <w:rsid w:val="001824EF"/>
    <w:rsid w:val="00192302"/>
    <w:rsid w:val="001924D7"/>
    <w:rsid w:val="001C1A58"/>
    <w:rsid w:val="00227374"/>
    <w:rsid w:val="00227D28"/>
    <w:rsid w:val="002326A8"/>
    <w:rsid w:val="00236710"/>
    <w:rsid w:val="0025322D"/>
    <w:rsid w:val="002611D1"/>
    <w:rsid w:val="00276DAB"/>
    <w:rsid w:val="002804D3"/>
    <w:rsid w:val="002C2A27"/>
    <w:rsid w:val="002F1179"/>
    <w:rsid w:val="002F390E"/>
    <w:rsid w:val="002F48AA"/>
    <w:rsid w:val="0032043B"/>
    <w:rsid w:val="0032646C"/>
    <w:rsid w:val="00353454"/>
    <w:rsid w:val="003638D3"/>
    <w:rsid w:val="003A096E"/>
    <w:rsid w:val="003A3108"/>
    <w:rsid w:val="003E2CFD"/>
    <w:rsid w:val="003F2F30"/>
    <w:rsid w:val="003F3202"/>
    <w:rsid w:val="004415BF"/>
    <w:rsid w:val="004558A3"/>
    <w:rsid w:val="00470665"/>
    <w:rsid w:val="00485F34"/>
    <w:rsid w:val="004B2E48"/>
    <w:rsid w:val="004C081C"/>
    <w:rsid w:val="004C3E41"/>
    <w:rsid w:val="004D3848"/>
    <w:rsid w:val="005125CA"/>
    <w:rsid w:val="00553970"/>
    <w:rsid w:val="0056039B"/>
    <w:rsid w:val="00572797"/>
    <w:rsid w:val="00595593"/>
    <w:rsid w:val="005A126D"/>
    <w:rsid w:val="005C5AC6"/>
    <w:rsid w:val="005D5382"/>
    <w:rsid w:val="005D6112"/>
    <w:rsid w:val="005E7987"/>
    <w:rsid w:val="005F1AA3"/>
    <w:rsid w:val="006139C5"/>
    <w:rsid w:val="006303BD"/>
    <w:rsid w:val="00631146"/>
    <w:rsid w:val="00641D67"/>
    <w:rsid w:val="00655C0A"/>
    <w:rsid w:val="006618EF"/>
    <w:rsid w:val="006724A5"/>
    <w:rsid w:val="00692DA7"/>
    <w:rsid w:val="006A6057"/>
    <w:rsid w:val="007042ED"/>
    <w:rsid w:val="0073178F"/>
    <w:rsid w:val="0074008B"/>
    <w:rsid w:val="00743A97"/>
    <w:rsid w:val="00746952"/>
    <w:rsid w:val="00761B6D"/>
    <w:rsid w:val="00792340"/>
    <w:rsid w:val="007A0928"/>
    <w:rsid w:val="007A3F38"/>
    <w:rsid w:val="007A5175"/>
    <w:rsid w:val="007D46BF"/>
    <w:rsid w:val="0081386B"/>
    <w:rsid w:val="00840D88"/>
    <w:rsid w:val="008542BE"/>
    <w:rsid w:val="00861406"/>
    <w:rsid w:val="00861932"/>
    <w:rsid w:val="00874DDF"/>
    <w:rsid w:val="008825A8"/>
    <w:rsid w:val="008922BA"/>
    <w:rsid w:val="00893C3B"/>
    <w:rsid w:val="008D1887"/>
    <w:rsid w:val="008D6867"/>
    <w:rsid w:val="008D6A12"/>
    <w:rsid w:val="008E2A31"/>
    <w:rsid w:val="008E4FD1"/>
    <w:rsid w:val="008F64AE"/>
    <w:rsid w:val="0090737E"/>
    <w:rsid w:val="0094127E"/>
    <w:rsid w:val="00961A7A"/>
    <w:rsid w:val="009626C8"/>
    <w:rsid w:val="009B1BAB"/>
    <w:rsid w:val="009C6BBB"/>
    <w:rsid w:val="009D0866"/>
    <w:rsid w:val="009D78D3"/>
    <w:rsid w:val="009E349F"/>
    <w:rsid w:val="009E4AB4"/>
    <w:rsid w:val="009F0646"/>
    <w:rsid w:val="009F2A85"/>
    <w:rsid w:val="00A20D77"/>
    <w:rsid w:val="00A25301"/>
    <w:rsid w:val="00A43E5C"/>
    <w:rsid w:val="00A47A5B"/>
    <w:rsid w:val="00A51937"/>
    <w:rsid w:val="00A57737"/>
    <w:rsid w:val="00A60C6A"/>
    <w:rsid w:val="00A770BF"/>
    <w:rsid w:val="00A822B9"/>
    <w:rsid w:val="00A960E6"/>
    <w:rsid w:val="00AA1F2B"/>
    <w:rsid w:val="00AB3EF1"/>
    <w:rsid w:val="00AD1E93"/>
    <w:rsid w:val="00AE7D59"/>
    <w:rsid w:val="00B11750"/>
    <w:rsid w:val="00B42AA6"/>
    <w:rsid w:val="00B57994"/>
    <w:rsid w:val="00B82EFF"/>
    <w:rsid w:val="00B85D3F"/>
    <w:rsid w:val="00B87243"/>
    <w:rsid w:val="00BC65BF"/>
    <w:rsid w:val="00BE3C1B"/>
    <w:rsid w:val="00C04288"/>
    <w:rsid w:val="00C23DC0"/>
    <w:rsid w:val="00C27E42"/>
    <w:rsid w:val="00C324F0"/>
    <w:rsid w:val="00C35776"/>
    <w:rsid w:val="00C511A8"/>
    <w:rsid w:val="00C553B5"/>
    <w:rsid w:val="00C7460D"/>
    <w:rsid w:val="00C77175"/>
    <w:rsid w:val="00C97069"/>
    <w:rsid w:val="00CA1C9D"/>
    <w:rsid w:val="00CF26C3"/>
    <w:rsid w:val="00D332BA"/>
    <w:rsid w:val="00D67134"/>
    <w:rsid w:val="00D7240E"/>
    <w:rsid w:val="00D82A06"/>
    <w:rsid w:val="00D926F7"/>
    <w:rsid w:val="00DF2146"/>
    <w:rsid w:val="00DF2B7F"/>
    <w:rsid w:val="00E018C3"/>
    <w:rsid w:val="00E11175"/>
    <w:rsid w:val="00E270CE"/>
    <w:rsid w:val="00E436F0"/>
    <w:rsid w:val="00E66C21"/>
    <w:rsid w:val="00E70057"/>
    <w:rsid w:val="00E904E1"/>
    <w:rsid w:val="00E932BF"/>
    <w:rsid w:val="00EB243B"/>
    <w:rsid w:val="00EE215B"/>
    <w:rsid w:val="00EF7DE2"/>
    <w:rsid w:val="00F161BF"/>
    <w:rsid w:val="00F467C4"/>
    <w:rsid w:val="00F4713B"/>
    <w:rsid w:val="00F54E85"/>
    <w:rsid w:val="00F568E7"/>
    <w:rsid w:val="00F621AA"/>
    <w:rsid w:val="00F72D49"/>
    <w:rsid w:val="00F75266"/>
    <w:rsid w:val="00F84089"/>
    <w:rsid w:val="00F87CCA"/>
    <w:rsid w:val="00FB5FF3"/>
    <w:rsid w:val="00FC1F7E"/>
    <w:rsid w:val="00FD6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List"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style>
  <w:style w:type="paragraph" w:styleId="Heading1">
    <w:name w:val="heading 1"/>
    <w:basedOn w:val="Normal"/>
    <w:next w:val="Normal"/>
    <w:link w:val="Heading1Char"/>
    <w:qFormat/>
    <w:pPr>
      <w:keepNext/>
      <w:numPr>
        <w:numId w:val="1"/>
      </w:numPr>
      <w:spacing w:before="240" w:after="60"/>
      <w:outlineLvl w:val="0"/>
    </w:pPr>
    <w:rPr>
      <w:rFonts w:ascii="Arial" w:hAnsi="Arial"/>
      <w:b/>
      <w:kern w:val="1"/>
      <w:sz w:val="28"/>
    </w:rPr>
  </w:style>
  <w:style w:type="paragraph" w:styleId="Heading2">
    <w:name w:val="heading 2"/>
    <w:basedOn w:val="Normal"/>
    <w:next w:val="Normal"/>
    <w:link w:val="Heading2Char"/>
    <w:qFormat/>
    <w:pPr>
      <w:keepNext/>
      <w:numPr>
        <w:ilvl w:val="1"/>
        <w:numId w:val="1"/>
      </w:numPr>
      <w:spacing w:before="240" w:after="60"/>
      <w:outlineLvl w:val="1"/>
    </w:pPr>
    <w:rPr>
      <w:rFonts w:ascii="Arial" w:hAnsi="Arial"/>
      <w:b/>
      <w:i/>
      <w:sz w:val="24"/>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sz w:val="24"/>
    </w:rPr>
  </w:style>
  <w:style w:type="paragraph" w:styleId="Heading4">
    <w:name w:val="heading 4"/>
    <w:basedOn w:val="Normal"/>
    <w:next w:val="Normal"/>
    <w:link w:val="Heading4Char"/>
    <w:qFormat/>
    <w:rsid w:val="009E349F"/>
    <w:pPr>
      <w:keepNext/>
      <w:widowControl w:val="0"/>
      <w:suppressAutoHyphens w:val="0"/>
      <w:spacing w:before="240" w:after="60"/>
      <w:outlineLvl w:val="3"/>
    </w:pPr>
    <w:rPr>
      <w:rFonts w:ascii="Arial" w:hAnsi="Arial"/>
      <w:b/>
      <w:sz w:val="24"/>
    </w:rPr>
  </w:style>
  <w:style w:type="paragraph" w:styleId="Heading5">
    <w:name w:val="heading 5"/>
    <w:basedOn w:val="Normal"/>
    <w:next w:val="Normal"/>
    <w:link w:val="Heading5Char"/>
    <w:unhideWhenUsed/>
    <w:qFormat/>
    <w:rsid w:val="00E904E1"/>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9E349F"/>
    <w:pPr>
      <w:keepNext/>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suppressAutoHyphens w:val="0"/>
      <w:outlineLvl w:val="5"/>
    </w:pPr>
    <w:rPr>
      <w:b/>
      <w:sz w:val="36"/>
    </w:rPr>
  </w:style>
  <w:style w:type="paragraph" w:styleId="Heading7">
    <w:name w:val="heading 7"/>
    <w:basedOn w:val="Normal"/>
    <w:next w:val="Normal"/>
    <w:link w:val="Heading7Char"/>
    <w:qFormat/>
    <w:rsid w:val="009E349F"/>
    <w:pPr>
      <w:keepNext/>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suppressAutoHyphens w:val="0"/>
      <w:jc w:val="both"/>
      <w:outlineLvl w:val="6"/>
    </w:pPr>
    <w:rPr>
      <w:color w:val="0000FF"/>
      <w:sz w:val="22"/>
      <w:u w:val="single"/>
    </w:rPr>
  </w:style>
  <w:style w:type="paragraph" w:styleId="Heading8">
    <w:name w:val="heading 8"/>
    <w:basedOn w:val="Normal"/>
    <w:next w:val="Normal"/>
    <w:link w:val="Heading8Char"/>
    <w:qFormat/>
    <w:rsid w:val="009E349F"/>
    <w:pPr>
      <w:keepNext/>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val="0"/>
      <w:jc w:val="both"/>
      <w:outlineLvl w:val="7"/>
    </w:pPr>
    <w:rPr>
      <w:b/>
      <w:sz w:val="22"/>
    </w:rPr>
  </w:style>
  <w:style w:type="paragraph" w:styleId="Heading9">
    <w:name w:val="heading 9"/>
    <w:basedOn w:val="Normal"/>
    <w:next w:val="Normal"/>
    <w:link w:val="Heading9Char"/>
    <w:qFormat/>
    <w:rsid w:val="009E349F"/>
    <w:pPr>
      <w:keepNext/>
      <w:widowControl w:val="0"/>
      <w:suppressAutoHyphens w:val="0"/>
      <w:outlineLvl w:val="8"/>
    </w:pPr>
    <w:rPr>
      <w:color w:val="0000FF"/>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1z0">
    <w:name w:val="WW8Num1z0"/>
    <w:rPr>
      <w:rFonts w:ascii="Symbol" w:hAnsi="Symbol"/>
    </w:rPr>
  </w:style>
  <w:style w:type="character" w:styleId="Hyperlink">
    <w:name w:val="Hyperlink"/>
    <w:rPr>
      <w:color w:val="0000FF"/>
      <w:u w:val="single"/>
    </w:rPr>
  </w:style>
  <w:style w:type="paragraph" w:customStyle="1" w:styleId="Heading">
    <w:name w:val="Heading"/>
    <w:basedOn w:val="Normal"/>
    <w:next w:val="BodyText"/>
    <w:pPr>
      <w:keepNext/>
      <w:spacing w:before="240" w:after="120"/>
    </w:pPr>
    <w:rPr>
      <w:rFonts w:ascii="Arial" w:eastAsia="Lucida Sans Unicode" w:hAnsi="Arial" w:cs="Lucida Sans Unicode"/>
      <w:sz w:val="28"/>
      <w:szCs w:val="28"/>
    </w:rPr>
  </w:style>
  <w:style w:type="paragraph" w:styleId="BodyText">
    <w:name w:val="Body Text"/>
    <w:basedOn w:val="Normal"/>
    <w:pPr>
      <w:spacing w:after="120"/>
    </w:pPr>
  </w:style>
  <w:style w:type="paragraph" w:styleId="List">
    <w:name w:val="List"/>
    <w:basedOn w:val="BodyText"/>
    <w:rPr>
      <w:rFonts w:cs="Lucida Sans Unicode"/>
    </w:rPr>
  </w:style>
  <w:style w:type="paragraph" w:styleId="Caption">
    <w:name w:val="caption"/>
    <w:basedOn w:val="Normal"/>
    <w:qFormat/>
    <w:pPr>
      <w:suppressLineNumbers/>
      <w:spacing w:before="120" w:after="120"/>
    </w:pPr>
    <w:rPr>
      <w:rFonts w:cs="Lucida Sans Unicode"/>
      <w:i/>
      <w:iCs/>
      <w:sz w:val="24"/>
      <w:szCs w:val="24"/>
    </w:rPr>
  </w:style>
  <w:style w:type="paragraph" w:customStyle="1" w:styleId="Index">
    <w:name w:val="Index"/>
    <w:basedOn w:val="Normal"/>
    <w:pPr>
      <w:suppressLineNumbers/>
    </w:pPr>
    <w:rPr>
      <w:rFonts w:cs="Lucida Sans Unicode"/>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Heading5Char">
    <w:name w:val="Heading 5 Char"/>
    <w:link w:val="Heading5"/>
    <w:rsid w:val="00E904E1"/>
    <w:rPr>
      <w:rFonts w:ascii="Calibri" w:eastAsia="Times New Roman" w:hAnsi="Calibri" w:cs="Times New Roman"/>
      <w:b/>
      <w:bCs/>
      <w:i/>
      <w:iCs/>
      <w:sz w:val="26"/>
      <w:szCs w:val="26"/>
    </w:rPr>
  </w:style>
  <w:style w:type="character" w:styleId="FootnoteReference">
    <w:name w:val="footnote reference"/>
    <w:semiHidden/>
    <w:unhideWhenUsed/>
    <w:rsid w:val="00E904E1"/>
    <w:rPr>
      <w:vertAlign w:val="superscript"/>
    </w:rPr>
  </w:style>
  <w:style w:type="paragraph" w:styleId="Footer">
    <w:name w:val="footer"/>
    <w:basedOn w:val="Normal"/>
    <w:link w:val="FooterChar"/>
    <w:rsid w:val="00A770BF"/>
    <w:pPr>
      <w:tabs>
        <w:tab w:val="center" w:pos="4320"/>
        <w:tab w:val="right" w:pos="8640"/>
      </w:tabs>
    </w:pPr>
  </w:style>
  <w:style w:type="character" w:customStyle="1" w:styleId="FooterChar">
    <w:name w:val="Footer Char"/>
    <w:basedOn w:val="DefaultParagraphFont"/>
    <w:link w:val="Footer"/>
    <w:rsid w:val="00A770BF"/>
  </w:style>
  <w:style w:type="character" w:styleId="PageNumber">
    <w:name w:val="page number"/>
    <w:basedOn w:val="DefaultParagraphFont"/>
    <w:rsid w:val="00A770BF"/>
  </w:style>
  <w:style w:type="paragraph" w:styleId="Header">
    <w:name w:val="header"/>
    <w:basedOn w:val="Normal"/>
    <w:link w:val="HeaderChar"/>
    <w:unhideWhenUsed/>
    <w:rsid w:val="00AA1F2B"/>
    <w:pPr>
      <w:tabs>
        <w:tab w:val="center" w:pos="4680"/>
        <w:tab w:val="right" w:pos="9360"/>
      </w:tabs>
    </w:pPr>
  </w:style>
  <w:style w:type="character" w:customStyle="1" w:styleId="HeaderChar">
    <w:name w:val="Header Char"/>
    <w:link w:val="Header"/>
    <w:rsid w:val="00AA1F2B"/>
  </w:style>
  <w:style w:type="character" w:customStyle="1" w:styleId="Heading4Char">
    <w:name w:val="Heading 4 Char"/>
    <w:link w:val="Heading4"/>
    <w:rsid w:val="009E349F"/>
    <w:rPr>
      <w:rFonts w:ascii="Arial" w:hAnsi="Arial"/>
      <w:b/>
      <w:sz w:val="24"/>
    </w:rPr>
  </w:style>
  <w:style w:type="character" w:customStyle="1" w:styleId="Heading6Char">
    <w:name w:val="Heading 6 Char"/>
    <w:link w:val="Heading6"/>
    <w:rsid w:val="009E349F"/>
    <w:rPr>
      <w:b/>
      <w:sz w:val="36"/>
    </w:rPr>
  </w:style>
  <w:style w:type="character" w:customStyle="1" w:styleId="Heading7Char">
    <w:name w:val="Heading 7 Char"/>
    <w:link w:val="Heading7"/>
    <w:rsid w:val="009E349F"/>
    <w:rPr>
      <w:color w:val="0000FF"/>
      <w:sz w:val="22"/>
      <w:u w:val="single"/>
    </w:rPr>
  </w:style>
  <w:style w:type="character" w:customStyle="1" w:styleId="Heading8Char">
    <w:name w:val="Heading 8 Char"/>
    <w:link w:val="Heading8"/>
    <w:rsid w:val="009E349F"/>
    <w:rPr>
      <w:b/>
      <w:sz w:val="22"/>
    </w:rPr>
  </w:style>
  <w:style w:type="character" w:customStyle="1" w:styleId="Heading9Char">
    <w:name w:val="Heading 9 Char"/>
    <w:link w:val="Heading9"/>
    <w:rsid w:val="009E349F"/>
    <w:rPr>
      <w:color w:val="0000FF"/>
      <w:sz w:val="22"/>
      <w:u w:val="single"/>
    </w:rPr>
  </w:style>
  <w:style w:type="paragraph" w:styleId="BalloonText">
    <w:name w:val="Balloon Text"/>
    <w:basedOn w:val="Normal"/>
    <w:link w:val="BalloonTextChar"/>
    <w:uiPriority w:val="99"/>
    <w:semiHidden/>
    <w:unhideWhenUsed/>
    <w:rsid w:val="009E349F"/>
    <w:rPr>
      <w:rFonts w:ascii="Tahoma" w:hAnsi="Tahoma" w:cs="Tahoma"/>
      <w:sz w:val="16"/>
      <w:szCs w:val="16"/>
    </w:rPr>
  </w:style>
  <w:style w:type="character" w:customStyle="1" w:styleId="BalloonTextChar">
    <w:name w:val="Balloon Text Char"/>
    <w:link w:val="BalloonText"/>
    <w:uiPriority w:val="99"/>
    <w:semiHidden/>
    <w:rsid w:val="009E349F"/>
    <w:rPr>
      <w:rFonts w:ascii="Tahoma" w:hAnsi="Tahoma" w:cs="Tahoma"/>
      <w:sz w:val="16"/>
      <w:szCs w:val="16"/>
    </w:rPr>
  </w:style>
  <w:style w:type="paragraph" w:styleId="FootnoteText">
    <w:name w:val="footnote text"/>
    <w:basedOn w:val="Normal"/>
    <w:link w:val="FootnoteTextChar"/>
    <w:semiHidden/>
    <w:unhideWhenUsed/>
    <w:rsid w:val="009E349F"/>
  </w:style>
  <w:style w:type="character" w:customStyle="1" w:styleId="FootnoteTextChar">
    <w:name w:val="Footnote Text Char"/>
    <w:link w:val="FootnoteText"/>
    <w:semiHidden/>
    <w:rsid w:val="009E349F"/>
  </w:style>
  <w:style w:type="character" w:customStyle="1" w:styleId="Heading1Char">
    <w:name w:val="Heading 1 Char"/>
    <w:link w:val="Heading1"/>
    <w:rsid w:val="009E349F"/>
    <w:rPr>
      <w:rFonts w:ascii="Arial" w:hAnsi="Arial"/>
      <w:b/>
      <w:kern w:val="1"/>
      <w:sz w:val="28"/>
    </w:rPr>
  </w:style>
  <w:style w:type="character" w:customStyle="1" w:styleId="Heading2Char">
    <w:name w:val="Heading 2 Char"/>
    <w:link w:val="Heading2"/>
    <w:rsid w:val="009E349F"/>
    <w:rPr>
      <w:rFonts w:ascii="Arial" w:hAnsi="Arial"/>
      <w:b/>
      <w:i/>
      <w:sz w:val="24"/>
    </w:rPr>
  </w:style>
  <w:style w:type="character" w:customStyle="1" w:styleId="Heading3Char">
    <w:name w:val="Heading 3 Char"/>
    <w:link w:val="Heading3"/>
    <w:rsid w:val="009E349F"/>
    <w:rPr>
      <w:rFonts w:ascii="Arial" w:hAnsi="Arial"/>
      <w:sz w:val="24"/>
    </w:rPr>
  </w:style>
  <w:style w:type="character" w:styleId="Emphasis">
    <w:name w:val="Emphasis"/>
    <w:qFormat/>
    <w:rsid w:val="009E349F"/>
    <w:rPr>
      <w:i/>
      <w:sz w:val="20"/>
    </w:rPr>
  </w:style>
  <w:style w:type="character" w:customStyle="1" w:styleId="Quick1">
    <w:name w:val="Quick 1."/>
    <w:rsid w:val="009E349F"/>
    <w:rPr>
      <w:sz w:val="20"/>
    </w:rPr>
  </w:style>
  <w:style w:type="character" w:customStyle="1" w:styleId="QuickA">
    <w:name w:val="Quick A."/>
    <w:rsid w:val="009E349F"/>
    <w:rPr>
      <w:sz w:val="20"/>
    </w:rPr>
  </w:style>
  <w:style w:type="character" w:customStyle="1" w:styleId="DefaultPara">
    <w:name w:val="Default Para"/>
    <w:rsid w:val="009E349F"/>
    <w:rPr>
      <w:sz w:val="20"/>
    </w:rPr>
  </w:style>
  <w:style w:type="character" w:customStyle="1" w:styleId="footnoteref">
    <w:name w:val="footnote ref"/>
    <w:rsid w:val="009E349F"/>
    <w:rPr>
      <w:sz w:val="20"/>
    </w:rPr>
  </w:style>
  <w:style w:type="character" w:styleId="Strong">
    <w:name w:val="Strong"/>
    <w:qFormat/>
    <w:rsid w:val="009E349F"/>
    <w:rPr>
      <w:sz w:val="20"/>
    </w:rPr>
  </w:style>
  <w:style w:type="paragraph" w:styleId="BodyText2">
    <w:name w:val="Body Text 2"/>
    <w:basedOn w:val="Normal"/>
    <w:link w:val="BodyText2Char"/>
    <w:rsid w:val="009E349F"/>
    <w:pPr>
      <w:keepNext/>
      <w:keepLines/>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suppressAutoHyphens w:val="0"/>
    </w:pPr>
    <w:rPr>
      <w:sz w:val="24"/>
    </w:rPr>
  </w:style>
  <w:style w:type="character" w:customStyle="1" w:styleId="BodyText2Char">
    <w:name w:val="Body Text 2 Char"/>
    <w:link w:val="BodyText2"/>
    <w:rsid w:val="009E349F"/>
    <w:rPr>
      <w:sz w:val="24"/>
    </w:rPr>
  </w:style>
  <w:style w:type="paragraph" w:styleId="BodyText3">
    <w:name w:val="Body Text 3"/>
    <w:basedOn w:val="Normal"/>
    <w:link w:val="BodyText3Char"/>
    <w:rsid w:val="009E349F"/>
    <w:pPr>
      <w:keepNext/>
      <w:keepLines/>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val="0"/>
    </w:pPr>
    <w:rPr>
      <w:b/>
      <w:color w:val="FF0000"/>
      <w:sz w:val="24"/>
    </w:rPr>
  </w:style>
  <w:style w:type="character" w:customStyle="1" w:styleId="BodyText3Char">
    <w:name w:val="Body Text 3 Char"/>
    <w:link w:val="BodyText3"/>
    <w:rsid w:val="009E349F"/>
    <w:rPr>
      <w:b/>
      <w:color w:val="FF0000"/>
      <w:sz w:val="24"/>
    </w:rPr>
  </w:style>
  <w:style w:type="paragraph" w:styleId="BodyTextIndent">
    <w:name w:val="Body Text Indent"/>
    <w:basedOn w:val="Normal"/>
    <w:link w:val="BodyTextIndentChar"/>
    <w:rsid w:val="009E349F"/>
    <w:pPr>
      <w:suppressAutoHyphens w:val="0"/>
      <w:ind w:left="720"/>
      <w:jc w:val="both"/>
    </w:pPr>
    <w:rPr>
      <w:i/>
    </w:rPr>
  </w:style>
  <w:style w:type="character" w:customStyle="1" w:styleId="BodyTextIndentChar">
    <w:name w:val="Body Text Indent Char"/>
    <w:link w:val="BodyTextIndent"/>
    <w:rsid w:val="009E349F"/>
    <w:rPr>
      <w:i/>
    </w:rPr>
  </w:style>
  <w:style w:type="paragraph" w:styleId="BodyTextIndent2">
    <w:name w:val="Body Text Indent 2"/>
    <w:basedOn w:val="Normal"/>
    <w:link w:val="BodyTextIndent2Char"/>
    <w:rsid w:val="009E349F"/>
    <w:pPr>
      <w:widowControl w:val="0"/>
      <w:suppressAutoHyphens w:val="0"/>
      <w:ind w:left="360"/>
      <w:jc w:val="both"/>
    </w:pPr>
    <w:rPr>
      <w:sz w:val="22"/>
    </w:rPr>
  </w:style>
  <w:style w:type="character" w:customStyle="1" w:styleId="BodyTextIndent2Char">
    <w:name w:val="Body Text Indent 2 Char"/>
    <w:link w:val="BodyTextIndent2"/>
    <w:rsid w:val="009E349F"/>
    <w:rPr>
      <w:sz w:val="22"/>
    </w:rPr>
  </w:style>
  <w:style w:type="paragraph" w:styleId="BodyTextIndent3">
    <w:name w:val="Body Text Indent 3"/>
    <w:basedOn w:val="Normal"/>
    <w:link w:val="BodyTextIndent3Char"/>
    <w:rsid w:val="009E349F"/>
    <w:pPr>
      <w:widowControl w:val="0"/>
      <w:tabs>
        <w:tab w:val="left" w:pos="-90"/>
        <w:tab w:val="left" w:pos="0"/>
        <w:tab w:val="left" w:pos="1350"/>
        <w:tab w:val="left" w:pos="2070"/>
        <w:tab w:val="left" w:pos="2790"/>
        <w:tab w:val="left" w:pos="3510"/>
        <w:tab w:val="left" w:pos="4230"/>
        <w:tab w:val="left" w:pos="4950"/>
        <w:tab w:val="left" w:pos="5670"/>
        <w:tab w:val="left" w:pos="6390"/>
        <w:tab w:val="left" w:pos="7110"/>
        <w:tab w:val="left" w:pos="7830"/>
        <w:tab w:val="left" w:pos="8550"/>
      </w:tabs>
      <w:suppressAutoHyphens w:val="0"/>
      <w:ind w:firstLine="360"/>
      <w:jc w:val="both"/>
    </w:pPr>
    <w:rPr>
      <w:rFonts w:ascii="T" w:hAnsi="T"/>
      <w:i/>
      <w:sz w:val="22"/>
    </w:rPr>
  </w:style>
  <w:style w:type="character" w:customStyle="1" w:styleId="BodyTextIndent3Char">
    <w:name w:val="Body Text Indent 3 Char"/>
    <w:link w:val="BodyTextIndent3"/>
    <w:rsid w:val="009E349F"/>
    <w:rPr>
      <w:rFonts w:ascii="T" w:hAnsi="T"/>
      <w:i/>
      <w:sz w:val="22"/>
    </w:rPr>
  </w:style>
  <w:style w:type="paragraph" w:styleId="Title">
    <w:name w:val="Title"/>
    <w:basedOn w:val="Normal"/>
    <w:link w:val="TitleChar"/>
    <w:qFormat/>
    <w:rsid w:val="009E349F"/>
    <w:pPr>
      <w:widowControl w:val="0"/>
      <w:tabs>
        <w:tab w:val="left" w:pos="-90"/>
        <w:tab w:val="left" w:pos="2070"/>
        <w:tab w:val="left" w:pos="3870"/>
        <w:tab w:val="left" w:pos="5670"/>
        <w:tab w:val="left" w:pos="7830"/>
        <w:tab w:val="left" w:pos="8550"/>
        <w:tab w:val="left" w:pos="9270"/>
      </w:tabs>
      <w:suppressAutoHyphens w:val="0"/>
      <w:jc w:val="center"/>
    </w:pPr>
    <w:rPr>
      <w:b/>
      <w:i/>
      <w:color w:val="FF0000"/>
      <w:sz w:val="22"/>
    </w:rPr>
  </w:style>
  <w:style w:type="character" w:customStyle="1" w:styleId="TitleChar">
    <w:name w:val="Title Char"/>
    <w:link w:val="Title"/>
    <w:rsid w:val="009E349F"/>
    <w:rPr>
      <w:b/>
      <w:i/>
      <w:color w:val="FF0000"/>
      <w:sz w:val="22"/>
    </w:rPr>
  </w:style>
  <w:style w:type="paragraph" w:styleId="DocumentMap">
    <w:name w:val="Document Map"/>
    <w:basedOn w:val="Normal"/>
    <w:link w:val="DocumentMapChar"/>
    <w:uiPriority w:val="99"/>
    <w:semiHidden/>
    <w:unhideWhenUsed/>
    <w:rsid w:val="009E349F"/>
    <w:rPr>
      <w:rFonts w:ascii="Tahoma" w:hAnsi="Tahoma" w:cs="Tahoma"/>
      <w:sz w:val="16"/>
      <w:szCs w:val="16"/>
    </w:rPr>
  </w:style>
  <w:style w:type="character" w:customStyle="1" w:styleId="DocumentMapChar">
    <w:name w:val="Document Map Char"/>
    <w:link w:val="DocumentMap"/>
    <w:uiPriority w:val="99"/>
    <w:semiHidden/>
    <w:rsid w:val="009E34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List"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style>
  <w:style w:type="paragraph" w:styleId="Heading1">
    <w:name w:val="heading 1"/>
    <w:basedOn w:val="Normal"/>
    <w:next w:val="Normal"/>
    <w:link w:val="Heading1Char"/>
    <w:qFormat/>
    <w:pPr>
      <w:keepNext/>
      <w:numPr>
        <w:numId w:val="1"/>
      </w:numPr>
      <w:spacing w:before="240" w:after="60"/>
      <w:outlineLvl w:val="0"/>
    </w:pPr>
    <w:rPr>
      <w:rFonts w:ascii="Arial" w:hAnsi="Arial"/>
      <w:b/>
      <w:kern w:val="1"/>
      <w:sz w:val="28"/>
    </w:rPr>
  </w:style>
  <w:style w:type="paragraph" w:styleId="Heading2">
    <w:name w:val="heading 2"/>
    <w:basedOn w:val="Normal"/>
    <w:next w:val="Normal"/>
    <w:link w:val="Heading2Char"/>
    <w:qFormat/>
    <w:pPr>
      <w:keepNext/>
      <w:numPr>
        <w:ilvl w:val="1"/>
        <w:numId w:val="1"/>
      </w:numPr>
      <w:spacing w:before="240" w:after="60"/>
      <w:outlineLvl w:val="1"/>
    </w:pPr>
    <w:rPr>
      <w:rFonts w:ascii="Arial" w:hAnsi="Arial"/>
      <w:b/>
      <w:i/>
      <w:sz w:val="24"/>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sz w:val="24"/>
    </w:rPr>
  </w:style>
  <w:style w:type="paragraph" w:styleId="Heading4">
    <w:name w:val="heading 4"/>
    <w:basedOn w:val="Normal"/>
    <w:next w:val="Normal"/>
    <w:link w:val="Heading4Char"/>
    <w:qFormat/>
    <w:rsid w:val="009E349F"/>
    <w:pPr>
      <w:keepNext/>
      <w:widowControl w:val="0"/>
      <w:suppressAutoHyphens w:val="0"/>
      <w:spacing w:before="240" w:after="60"/>
      <w:outlineLvl w:val="3"/>
    </w:pPr>
    <w:rPr>
      <w:rFonts w:ascii="Arial" w:hAnsi="Arial"/>
      <w:b/>
      <w:sz w:val="24"/>
    </w:rPr>
  </w:style>
  <w:style w:type="paragraph" w:styleId="Heading5">
    <w:name w:val="heading 5"/>
    <w:basedOn w:val="Normal"/>
    <w:next w:val="Normal"/>
    <w:link w:val="Heading5Char"/>
    <w:unhideWhenUsed/>
    <w:qFormat/>
    <w:rsid w:val="00E904E1"/>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9E349F"/>
    <w:pPr>
      <w:keepNext/>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suppressAutoHyphens w:val="0"/>
      <w:outlineLvl w:val="5"/>
    </w:pPr>
    <w:rPr>
      <w:b/>
      <w:sz w:val="36"/>
    </w:rPr>
  </w:style>
  <w:style w:type="paragraph" w:styleId="Heading7">
    <w:name w:val="heading 7"/>
    <w:basedOn w:val="Normal"/>
    <w:next w:val="Normal"/>
    <w:link w:val="Heading7Char"/>
    <w:qFormat/>
    <w:rsid w:val="009E349F"/>
    <w:pPr>
      <w:keepNext/>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suppressAutoHyphens w:val="0"/>
      <w:jc w:val="both"/>
      <w:outlineLvl w:val="6"/>
    </w:pPr>
    <w:rPr>
      <w:color w:val="0000FF"/>
      <w:sz w:val="22"/>
      <w:u w:val="single"/>
    </w:rPr>
  </w:style>
  <w:style w:type="paragraph" w:styleId="Heading8">
    <w:name w:val="heading 8"/>
    <w:basedOn w:val="Normal"/>
    <w:next w:val="Normal"/>
    <w:link w:val="Heading8Char"/>
    <w:qFormat/>
    <w:rsid w:val="009E349F"/>
    <w:pPr>
      <w:keepNext/>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val="0"/>
      <w:jc w:val="both"/>
      <w:outlineLvl w:val="7"/>
    </w:pPr>
    <w:rPr>
      <w:b/>
      <w:sz w:val="22"/>
    </w:rPr>
  </w:style>
  <w:style w:type="paragraph" w:styleId="Heading9">
    <w:name w:val="heading 9"/>
    <w:basedOn w:val="Normal"/>
    <w:next w:val="Normal"/>
    <w:link w:val="Heading9Char"/>
    <w:qFormat/>
    <w:rsid w:val="009E349F"/>
    <w:pPr>
      <w:keepNext/>
      <w:widowControl w:val="0"/>
      <w:suppressAutoHyphens w:val="0"/>
      <w:outlineLvl w:val="8"/>
    </w:pPr>
    <w:rPr>
      <w:color w:val="0000FF"/>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1z0">
    <w:name w:val="WW8Num1z0"/>
    <w:rPr>
      <w:rFonts w:ascii="Symbol" w:hAnsi="Symbol"/>
    </w:rPr>
  </w:style>
  <w:style w:type="character" w:styleId="Hyperlink">
    <w:name w:val="Hyperlink"/>
    <w:rPr>
      <w:color w:val="0000FF"/>
      <w:u w:val="single"/>
    </w:rPr>
  </w:style>
  <w:style w:type="paragraph" w:customStyle="1" w:styleId="Heading">
    <w:name w:val="Heading"/>
    <w:basedOn w:val="Normal"/>
    <w:next w:val="BodyText"/>
    <w:pPr>
      <w:keepNext/>
      <w:spacing w:before="240" w:after="120"/>
    </w:pPr>
    <w:rPr>
      <w:rFonts w:ascii="Arial" w:eastAsia="Lucida Sans Unicode" w:hAnsi="Arial" w:cs="Lucida Sans Unicode"/>
      <w:sz w:val="28"/>
      <w:szCs w:val="28"/>
    </w:rPr>
  </w:style>
  <w:style w:type="paragraph" w:styleId="BodyText">
    <w:name w:val="Body Text"/>
    <w:basedOn w:val="Normal"/>
    <w:pPr>
      <w:spacing w:after="120"/>
    </w:pPr>
  </w:style>
  <w:style w:type="paragraph" w:styleId="List">
    <w:name w:val="List"/>
    <w:basedOn w:val="BodyText"/>
    <w:rPr>
      <w:rFonts w:cs="Lucida Sans Unicode"/>
    </w:rPr>
  </w:style>
  <w:style w:type="paragraph" w:styleId="Caption">
    <w:name w:val="caption"/>
    <w:basedOn w:val="Normal"/>
    <w:qFormat/>
    <w:pPr>
      <w:suppressLineNumbers/>
      <w:spacing w:before="120" w:after="120"/>
    </w:pPr>
    <w:rPr>
      <w:rFonts w:cs="Lucida Sans Unicode"/>
      <w:i/>
      <w:iCs/>
      <w:sz w:val="24"/>
      <w:szCs w:val="24"/>
    </w:rPr>
  </w:style>
  <w:style w:type="paragraph" w:customStyle="1" w:styleId="Index">
    <w:name w:val="Index"/>
    <w:basedOn w:val="Normal"/>
    <w:pPr>
      <w:suppressLineNumbers/>
    </w:pPr>
    <w:rPr>
      <w:rFonts w:cs="Lucida Sans Unicode"/>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Heading5Char">
    <w:name w:val="Heading 5 Char"/>
    <w:link w:val="Heading5"/>
    <w:rsid w:val="00E904E1"/>
    <w:rPr>
      <w:rFonts w:ascii="Calibri" w:eastAsia="Times New Roman" w:hAnsi="Calibri" w:cs="Times New Roman"/>
      <w:b/>
      <w:bCs/>
      <w:i/>
      <w:iCs/>
      <w:sz w:val="26"/>
      <w:szCs w:val="26"/>
    </w:rPr>
  </w:style>
  <w:style w:type="character" w:styleId="FootnoteReference">
    <w:name w:val="footnote reference"/>
    <w:semiHidden/>
    <w:unhideWhenUsed/>
    <w:rsid w:val="00E904E1"/>
    <w:rPr>
      <w:vertAlign w:val="superscript"/>
    </w:rPr>
  </w:style>
  <w:style w:type="paragraph" w:styleId="Footer">
    <w:name w:val="footer"/>
    <w:basedOn w:val="Normal"/>
    <w:link w:val="FooterChar"/>
    <w:rsid w:val="00A770BF"/>
    <w:pPr>
      <w:tabs>
        <w:tab w:val="center" w:pos="4320"/>
        <w:tab w:val="right" w:pos="8640"/>
      </w:tabs>
    </w:pPr>
  </w:style>
  <w:style w:type="character" w:customStyle="1" w:styleId="FooterChar">
    <w:name w:val="Footer Char"/>
    <w:basedOn w:val="DefaultParagraphFont"/>
    <w:link w:val="Footer"/>
    <w:rsid w:val="00A770BF"/>
  </w:style>
  <w:style w:type="character" w:styleId="PageNumber">
    <w:name w:val="page number"/>
    <w:basedOn w:val="DefaultParagraphFont"/>
    <w:rsid w:val="00A770BF"/>
  </w:style>
  <w:style w:type="paragraph" w:styleId="Header">
    <w:name w:val="header"/>
    <w:basedOn w:val="Normal"/>
    <w:link w:val="HeaderChar"/>
    <w:unhideWhenUsed/>
    <w:rsid w:val="00AA1F2B"/>
    <w:pPr>
      <w:tabs>
        <w:tab w:val="center" w:pos="4680"/>
        <w:tab w:val="right" w:pos="9360"/>
      </w:tabs>
    </w:pPr>
  </w:style>
  <w:style w:type="character" w:customStyle="1" w:styleId="HeaderChar">
    <w:name w:val="Header Char"/>
    <w:link w:val="Header"/>
    <w:rsid w:val="00AA1F2B"/>
  </w:style>
  <w:style w:type="character" w:customStyle="1" w:styleId="Heading4Char">
    <w:name w:val="Heading 4 Char"/>
    <w:link w:val="Heading4"/>
    <w:rsid w:val="009E349F"/>
    <w:rPr>
      <w:rFonts w:ascii="Arial" w:hAnsi="Arial"/>
      <w:b/>
      <w:sz w:val="24"/>
    </w:rPr>
  </w:style>
  <w:style w:type="character" w:customStyle="1" w:styleId="Heading6Char">
    <w:name w:val="Heading 6 Char"/>
    <w:link w:val="Heading6"/>
    <w:rsid w:val="009E349F"/>
    <w:rPr>
      <w:b/>
      <w:sz w:val="36"/>
    </w:rPr>
  </w:style>
  <w:style w:type="character" w:customStyle="1" w:styleId="Heading7Char">
    <w:name w:val="Heading 7 Char"/>
    <w:link w:val="Heading7"/>
    <w:rsid w:val="009E349F"/>
    <w:rPr>
      <w:color w:val="0000FF"/>
      <w:sz w:val="22"/>
      <w:u w:val="single"/>
    </w:rPr>
  </w:style>
  <w:style w:type="character" w:customStyle="1" w:styleId="Heading8Char">
    <w:name w:val="Heading 8 Char"/>
    <w:link w:val="Heading8"/>
    <w:rsid w:val="009E349F"/>
    <w:rPr>
      <w:b/>
      <w:sz w:val="22"/>
    </w:rPr>
  </w:style>
  <w:style w:type="character" w:customStyle="1" w:styleId="Heading9Char">
    <w:name w:val="Heading 9 Char"/>
    <w:link w:val="Heading9"/>
    <w:rsid w:val="009E349F"/>
    <w:rPr>
      <w:color w:val="0000FF"/>
      <w:sz w:val="22"/>
      <w:u w:val="single"/>
    </w:rPr>
  </w:style>
  <w:style w:type="paragraph" w:styleId="BalloonText">
    <w:name w:val="Balloon Text"/>
    <w:basedOn w:val="Normal"/>
    <w:link w:val="BalloonTextChar"/>
    <w:uiPriority w:val="99"/>
    <w:semiHidden/>
    <w:unhideWhenUsed/>
    <w:rsid w:val="009E349F"/>
    <w:rPr>
      <w:rFonts w:ascii="Tahoma" w:hAnsi="Tahoma" w:cs="Tahoma"/>
      <w:sz w:val="16"/>
      <w:szCs w:val="16"/>
    </w:rPr>
  </w:style>
  <w:style w:type="character" w:customStyle="1" w:styleId="BalloonTextChar">
    <w:name w:val="Balloon Text Char"/>
    <w:link w:val="BalloonText"/>
    <w:uiPriority w:val="99"/>
    <w:semiHidden/>
    <w:rsid w:val="009E349F"/>
    <w:rPr>
      <w:rFonts w:ascii="Tahoma" w:hAnsi="Tahoma" w:cs="Tahoma"/>
      <w:sz w:val="16"/>
      <w:szCs w:val="16"/>
    </w:rPr>
  </w:style>
  <w:style w:type="paragraph" w:styleId="FootnoteText">
    <w:name w:val="footnote text"/>
    <w:basedOn w:val="Normal"/>
    <w:link w:val="FootnoteTextChar"/>
    <w:semiHidden/>
    <w:unhideWhenUsed/>
    <w:rsid w:val="009E349F"/>
  </w:style>
  <w:style w:type="character" w:customStyle="1" w:styleId="FootnoteTextChar">
    <w:name w:val="Footnote Text Char"/>
    <w:link w:val="FootnoteText"/>
    <w:semiHidden/>
    <w:rsid w:val="009E349F"/>
  </w:style>
  <w:style w:type="character" w:customStyle="1" w:styleId="Heading1Char">
    <w:name w:val="Heading 1 Char"/>
    <w:link w:val="Heading1"/>
    <w:rsid w:val="009E349F"/>
    <w:rPr>
      <w:rFonts w:ascii="Arial" w:hAnsi="Arial"/>
      <w:b/>
      <w:kern w:val="1"/>
      <w:sz w:val="28"/>
    </w:rPr>
  </w:style>
  <w:style w:type="character" w:customStyle="1" w:styleId="Heading2Char">
    <w:name w:val="Heading 2 Char"/>
    <w:link w:val="Heading2"/>
    <w:rsid w:val="009E349F"/>
    <w:rPr>
      <w:rFonts w:ascii="Arial" w:hAnsi="Arial"/>
      <w:b/>
      <w:i/>
      <w:sz w:val="24"/>
    </w:rPr>
  </w:style>
  <w:style w:type="character" w:customStyle="1" w:styleId="Heading3Char">
    <w:name w:val="Heading 3 Char"/>
    <w:link w:val="Heading3"/>
    <w:rsid w:val="009E349F"/>
    <w:rPr>
      <w:rFonts w:ascii="Arial" w:hAnsi="Arial"/>
      <w:sz w:val="24"/>
    </w:rPr>
  </w:style>
  <w:style w:type="character" w:styleId="Emphasis">
    <w:name w:val="Emphasis"/>
    <w:qFormat/>
    <w:rsid w:val="009E349F"/>
    <w:rPr>
      <w:i/>
      <w:sz w:val="20"/>
    </w:rPr>
  </w:style>
  <w:style w:type="character" w:customStyle="1" w:styleId="Quick1">
    <w:name w:val="Quick 1."/>
    <w:rsid w:val="009E349F"/>
    <w:rPr>
      <w:sz w:val="20"/>
    </w:rPr>
  </w:style>
  <w:style w:type="character" w:customStyle="1" w:styleId="QuickA">
    <w:name w:val="Quick A."/>
    <w:rsid w:val="009E349F"/>
    <w:rPr>
      <w:sz w:val="20"/>
    </w:rPr>
  </w:style>
  <w:style w:type="character" w:customStyle="1" w:styleId="DefaultPara">
    <w:name w:val="Default Para"/>
    <w:rsid w:val="009E349F"/>
    <w:rPr>
      <w:sz w:val="20"/>
    </w:rPr>
  </w:style>
  <w:style w:type="character" w:customStyle="1" w:styleId="footnoteref">
    <w:name w:val="footnote ref"/>
    <w:rsid w:val="009E349F"/>
    <w:rPr>
      <w:sz w:val="20"/>
    </w:rPr>
  </w:style>
  <w:style w:type="character" w:styleId="Strong">
    <w:name w:val="Strong"/>
    <w:qFormat/>
    <w:rsid w:val="009E349F"/>
    <w:rPr>
      <w:sz w:val="20"/>
    </w:rPr>
  </w:style>
  <w:style w:type="paragraph" w:styleId="BodyText2">
    <w:name w:val="Body Text 2"/>
    <w:basedOn w:val="Normal"/>
    <w:link w:val="BodyText2Char"/>
    <w:rsid w:val="009E349F"/>
    <w:pPr>
      <w:keepNext/>
      <w:keepLines/>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suppressAutoHyphens w:val="0"/>
    </w:pPr>
    <w:rPr>
      <w:sz w:val="24"/>
    </w:rPr>
  </w:style>
  <w:style w:type="character" w:customStyle="1" w:styleId="BodyText2Char">
    <w:name w:val="Body Text 2 Char"/>
    <w:link w:val="BodyText2"/>
    <w:rsid w:val="009E349F"/>
    <w:rPr>
      <w:sz w:val="24"/>
    </w:rPr>
  </w:style>
  <w:style w:type="paragraph" w:styleId="BodyText3">
    <w:name w:val="Body Text 3"/>
    <w:basedOn w:val="Normal"/>
    <w:link w:val="BodyText3Char"/>
    <w:rsid w:val="009E349F"/>
    <w:pPr>
      <w:keepNext/>
      <w:keepLines/>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val="0"/>
    </w:pPr>
    <w:rPr>
      <w:b/>
      <w:color w:val="FF0000"/>
      <w:sz w:val="24"/>
    </w:rPr>
  </w:style>
  <w:style w:type="character" w:customStyle="1" w:styleId="BodyText3Char">
    <w:name w:val="Body Text 3 Char"/>
    <w:link w:val="BodyText3"/>
    <w:rsid w:val="009E349F"/>
    <w:rPr>
      <w:b/>
      <w:color w:val="FF0000"/>
      <w:sz w:val="24"/>
    </w:rPr>
  </w:style>
  <w:style w:type="paragraph" w:styleId="BodyTextIndent">
    <w:name w:val="Body Text Indent"/>
    <w:basedOn w:val="Normal"/>
    <w:link w:val="BodyTextIndentChar"/>
    <w:rsid w:val="009E349F"/>
    <w:pPr>
      <w:suppressAutoHyphens w:val="0"/>
      <w:ind w:left="720"/>
      <w:jc w:val="both"/>
    </w:pPr>
    <w:rPr>
      <w:i/>
    </w:rPr>
  </w:style>
  <w:style w:type="character" w:customStyle="1" w:styleId="BodyTextIndentChar">
    <w:name w:val="Body Text Indent Char"/>
    <w:link w:val="BodyTextIndent"/>
    <w:rsid w:val="009E349F"/>
    <w:rPr>
      <w:i/>
    </w:rPr>
  </w:style>
  <w:style w:type="paragraph" w:styleId="BodyTextIndent2">
    <w:name w:val="Body Text Indent 2"/>
    <w:basedOn w:val="Normal"/>
    <w:link w:val="BodyTextIndent2Char"/>
    <w:rsid w:val="009E349F"/>
    <w:pPr>
      <w:widowControl w:val="0"/>
      <w:suppressAutoHyphens w:val="0"/>
      <w:ind w:left="360"/>
      <w:jc w:val="both"/>
    </w:pPr>
    <w:rPr>
      <w:sz w:val="22"/>
    </w:rPr>
  </w:style>
  <w:style w:type="character" w:customStyle="1" w:styleId="BodyTextIndent2Char">
    <w:name w:val="Body Text Indent 2 Char"/>
    <w:link w:val="BodyTextIndent2"/>
    <w:rsid w:val="009E349F"/>
    <w:rPr>
      <w:sz w:val="22"/>
    </w:rPr>
  </w:style>
  <w:style w:type="paragraph" w:styleId="BodyTextIndent3">
    <w:name w:val="Body Text Indent 3"/>
    <w:basedOn w:val="Normal"/>
    <w:link w:val="BodyTextIndent3Char"/>
    <w:rsid w:val="009E349F"/>
    <w:pPr>
      <w:widowControl w:val="0"/>
      <w:tabs>
        <w:tab w:val="left" w:pos="-90"/>
        <w:tab w:val="left" w:pos="0"/>
        <w:tab w:val="left" w:pos="1350"/>
        <w:tab w:val="left" w:pos="2070"/>
        <w:tab w:val="left" w:pos="2790"/>
        <w:tab w:val="left" w:pos="3510"/>
        <w:tab w:val="left" w:pos="4230"/>
        <w:tab w:val="left" w:pos="4950"/>
        <w:tab w:val="left" w:pos="5670"/>
        <w:tab w:val="left" w:pos="6390"/>
        <w:tab w:val="left" w:pos="7110"/>
        <w:tab w:val="left" w:pos="7830"/>
        <w:tab w:val="left" w:pos="8550"/>
      </w:tabs>
      <w:suppressAutoHyphens w:val="0"/>
      <w:ind w:firstLine="360"/>
      <w:jc w:val="both"/>
    </w:pPr>
    <w:rPr>
      <w:rFonts w:ascii="T" w:hAnsi="T"/>
      <w:i/>
      <w:sz w:val="22"/>
    </w:rPr>
  </w:style>
  <w:style w:type="character" w:customStyle="1" w:styleId="BodyTextIndent3Char">
    <w:name w:val="Body Text Indent 3 Char"/>
    <w:link w:val="BodyTextIndent3"/>
    <w:rsid w:val="009E349F"/>
    <w:rPr>
      <w:rFonts w:ascii="T" w:hAnsi="T"/>
      <w:i/>
      <w:sz w:val="22"/>
    </w:rPr>
  </w:style>
  <w:style w:type="paragraph" w:styleId="Title">
    <w:name w:val="Title"/>
    <w:basedOn w:val="Normal"/>
    <w:link w:val="TitleChar"/>
    <w:qFormat/>
    <w:rsid w:val="009E349F"/>
    <w:pPr>
      <w:widowControl w:val="0"/>
      <w:tabs>
        <w:tab w:val="left" w:pos="-90"/>
        <w:tab w:val="left" w:pos="2070"/>
        <w:tab w:val="left" w:pos="3870"/>
        <w:tab w:val="left" w:pos="5670"/>
        <w:tab w:val="left" w:pos="7830"/>
        <w:tab w:val="left" w:pos="8550"/>
        <w:tab w:val="left" w:pos="9270"/>
      </w:tabs>
      <w:suppressAutoHyphens w:val="0"/>
      <w:jc w:val="center"/>
    </w:pPr>
    <w:rPr>
      <w:b/>
      <w:i/>
      <w:color w:val="FF0000"/>
      <w:sz w:val="22"/>
    </w:rPr>
  </w:style>
  <w:style w:type="character" w:customStyle="1" w:styleId="TitleChar">
    <w:name w:val="Title Char"/>
    <w:link w:val="Title"/>
    <w:rsid w:val="009E349F"/>
    <w:rPr>
      <w:b/>
      <w:i/>
      <w:color w:val="FF0000"/>
      <w:sz w:val="22"/>
    </w:rPr>
  </w:style>
  <w:style w:type="paragraph" w:styleId="DocumentMap">
    <w:name w:val="Document Map"/>
    <w:basedOn w:val="Normal"/>
    <w:link w:val="DocumentMapChar"/>
    <w:uiPriority w:val="99"/>
    <w:semiHidden/>
    <w:unhideWhenUsed/>
    <w:rsid w:val="009E349F"/>
    <w:rPr>
      <w:rFonts w:ascii="Tahoma" w:hAnsi="Tahoma" w:cs="Tahoma"/>
      <w:sz w:val="16"/>
      <w:szCs w:val="16"/>
    </w:rPr>
  </w:style>
  <w:style w:type="character" w:customStyle="1" w:styleId="DocumentMapChar">
    <w:name w:val="Document Map Char"/>
    <w:link w:val="DocumentMap"/>
    <w:uiPriority w:val="99"/>
    <w:semiHidden/>
    <w:rsid w:val="009E34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403ED-F8CD-4F16-BCBB-947B773C1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2890</Words>
  <Characters>16476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Annual Water Quality Report Template - Small Systems</vt:lpstr>
    </vt:vector>
  </TitlesOfParts>
  <Company>CEH</Company>
  <LinksUpToDate>false</LinksUpToDate>
  <CharactersWithSpaces>19328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Water Quality Report Template - Small Systems</dc:title>
  <dc:subject>Annual Report to Consumers</dc:subject>
  <dc:creator>NYSDOH - Bureau of Water Supply Protection</dc:creator>
  <cp:keywords>Public drinking water notificaiton, AWQR, CCR, Consumer Confidence Report</cp:keywords>
  <cp:lastModifiedBy>Terry Pienta</cp:lastModifiedBy>
  <cp:revision>2</cp:revision>
  <cp:lastPrinted>2015-03-13T13:15:00Z</cp:lastPrinted>
  <dcterms:created xsi:type="dcterms:W3CDTF">2015-10-06T16:24:00Z</dcterms:created>
  <dcterms:modified xsi:type="dcterms:W3CDTF">2015-10-06T16:24:00Z</dcterms:modified>
</cp:coreProperties>
</file>